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widowControl/>
        <w:shd w:val="clear" w:color="auto" w:fill="FFFFFF"/>
        <w:spacing w:before="0" w:beforeAutospacing="0" w:afterAutospacing="0" w:line="560" w:lineRule="exact"/>
        <w:jc w:val="center"/>
        <w:rPr>
          <w:rStyle w:val="17"/>
          <w:rFonts w:hint="eastAsia" w:ascii="方正小标宋简体" w:hAnsi="方正小标宋简体" w:eastAsia="方正小标宋简体" w:cs="方正小标宋简体"/>
          <w:b w:val="0"/>
          <w:bCs/>
          <w:sz w:val="44"/>
          <w:szCs w:val="44"/>
          <w:shd w:val="clear" w:color="auto" w:fill="FFFFFF"/>
        </w:rPr>
      </w:pPr>
      <w:r>
        <w:rPr>
          <w:rStyle w:val="17"/>
          <w:rFonts w:hint="eastAsia" w:ascii="方正小标宋简体" w:hAnsi="方正小标宋简体" w:eastAsia="方正小标宋简体" w:cs="方正小标宋简体"/>
          <w:b w:val="0"/>
          <w:bCs/>
          <w:sz w:val="44"/>
          <w:szCs w:val="44"/>
          <w:shd w:val="clear" w:color="auto" w:fill="FFFFFF"/>
        </w:rPr>
        <w:t>佛山市广府菜传承发展条例</w:t>
      </w:r>
    </w:p>
    <w:p>
      <w:pPr>
        <w:spacing w:line="560" w:lineRule="exact"/>
        <w:jc w:val="center"/>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6"/>
          <w:szCs w:val="36"/>
        </w:rPr>
        <w:t>（</w:t>
      </w:r>
      <w:r>
        <w:rPr>
          <w:rFonts w:hint="eastAsia" w:ascii="楷体_GB2312" w:hAnsi="楷体_GB2312" w:eastAsia="楷体_GB2312" w:cs="楷体_GB2312"/>
          <w:kern w:val="0"/>
          <w:sz w:val="36"/>
          <w:szCs w:val="36"/>
          <w:lang w:eastAsia="zh-CN"/>
        </w:rPr>
        <w:t>草案征求意见稿</w:t>
      </w:r>
      <w:r>
        <w:rPr>
          <w:rFonts w:hint="eastAsia" w:ascii="楷体_GB2312" w:hAnsi="楷体_GB2312" w:eastAsia="楷体_GB2312" w:cs="楷体_GB2312"/>
          <w:kern w:val="0"/>
          <w:sz w:val="36"/>
          <w:szCs w:val="36"/>
        </w:rPr>
        <w:t>）</w:t>
      </w:r>
      <w:bookmarkStart w:id="2" w:name="_GoBack"/>
      <w:bookmarkEnd w:id="2"/>
    </w:p>
    <w:p>
      <w:pPr>
        <w:pStyle w:val="13"/>
        <w:widowControl/>
        <w:shd w:val="clear" w:color="auto" w:fill="FFFFFF"/>
        <w:spacing w:before="0" w:beforeAutospacing="0" w:afterAutospacing="0" w:line="560" w:lineRule="exact"/>
        <w:jc w:val="both"/>
        <w:rPr>
          <w:rStyle w:val="17"/>
          <w:rFonts w:hint="eastAsia" w:ascii="仿宋_GB2312" w:hAnsi="仿宋_GB2312" w:eastAsia="仿宋_GB2312" w:cs="仿宋_GB2312"/>
          <w:sz w:val="32"/>
          <w:szCs w:val="32"/>
          <w:shd w:val="clear" w:color="auto" w:fill="FFFFFF"/>
        </w:rPr>
      </w:pPr>
    </w:p>
    <w:p>
      <w:pPr>
        <w:pStyle w:val="13"/>
        <w:widowControl/>
        <w:shd w:val="clear" w:color="auto" w:fill="FFFFFF"/>
        <w:spacing w:before="0" w:beforeAutospacing="0" w:after="0" w:afterAutospacing="0" w:line="560" w:lineRule="exact"/>
        <w:ind w:firstLine="641"/>
        <w:rPr>
          <w:rFonts w:hint="eastAsia" w:ascii="仿宋_GB2312" w:hAnsi="黑体" w:eastAsia="仿宋_GB2312" w:cs="黑体"/>
          <w:sz w:val="32"/>
          <w:szCs w:val="32"/>
          <w:shd w:val="clear" w:color="auto" w:fill="FFFFFF"/>
        </w:rPr>
      </w:pPr>
      <w:r>
        <w:rPr>
          <w:rFonts w:hint="eastAsia" w:ascii="仿宋_GB2312" w:hAnsi="仿宋" w:eastAsia="仿宋_GB2312" w:cs="仿宋"/>
          <w:b/>
          <w:sz w:val="32"/>
          <w:szCs w:val="32"/>
          <w:shd w:val="clear" w:color="auto" w:fill="FFFFFF"/>
        </w:rPr>
        <w:t>第一条【立法目的</w:t>
      </w:r>
      <w:r>
        <w:rPr>
          <w:rFonts w:hint="eastAsia" w:ascii="仿宋_GB2312" w:hAnsi="仿宋" w:eastAsia="仿宋_GB2312" w:cs="仿宋"/>
          <w:sz w:val="32"/>
          <w:szCs w:val="32"/>
          <w:shd w:val="clear" w:color="auto" w:fill="FFFFFF"/>
        </w:rPr>
        <w:t>】为了传承和发展佛山广府菜制作技艺，促进广府菜产业高质量发展，弘扬广府菜传统饮食文化，根据相关法律法规，结合本市实际，制定本条例。</w:t>
      </w:r>
    </w:p>
    <w:p>
      <w:pPr>
        <w:pStyle w:val="13"/>
        <w:widowControl/>
        <w:shd w:val="clear" w:color="auto" w:fill="FFFFFF"/>
        <w:spacing w:before="0" w:beforeAutospacing="0" w:after="0" w:afterAutospacing="0" w:line="560" w:lineRule="exact"/>
        <w:ind w:firstLine="641"/>
        <w:rPr>
          <w:rFonts w:hint="eastAsia" w:ascii="仿宋_GB2312" w:hAnsi="楷体" w:eastAsia="仿宋_GB2312" w:cs="楷体"/>
          <w:szCs w:val="24"/>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bCs/>
          <w:sz w:val="32"/>
          <w:szCs w:val="32"/>
          <w:shd w:val="clear" w:color="auto" w:fill="FFFFFF"/>
        </w:rPr>
      </w:pPr>
      <w:r>
        <w:rPr>
          <w:rFonts w:hint="eastAsia" w:ascii="仿宋_GB2312" w:hAnsi="仿宋" w:eastAsia="仿宋_GB2312" w:cs="仿宋"/>
          <w:b/>
          <w:sz w:val="32"/>
          <w:szCs w:val="32"/>
          <w:shd w:val="clear" w:color="auto" w:fill="FFFFFF"/>
        </w:rPr>
        <w:t>第二条【适用范围、定义】</w:t>
      </w:r>
      <w:r>
        <w:rPr>
          <w:rFonts w:hint="eastAsia" w:ascii="仿宋_GB2312" w:hAnsi="仿宋" w:eastAsia="仿宋_GB2312" w:cs="仿宋"/>
          <w:bCs/>
          <w:sz w:val="32"/>
          <w:szCs w:val="32"/>
          <w:shd w:val="clear" w:color="auto" w:fill="FFFFFF"/>
        </w:rPr>
        <w:t>本条例适用于本市行政区域内广府菜</w:t>
      </w:r>
      <w:bookmarkStart w:id="0" w:name="_Hlk103329885"/>
      <w:r>
        <w:rPr>
          <w:rFonts w:hint="eastAsia" w:ascii="仿宋_GB2312" w:hAnsi="仿宋" w:eastAsia="仿宋_GB2312" w:cs="仿宋"/>
          <w:bCs/>
          <w:sz w:val="32"/>
          <w:szCs w:val="32"/>
          <w:shd w:val="clear" w:color="auto" w:fill="FFFFFF"/>
        </w:rPr>
        <w:t>体系建设、人才培养、文化传承、产业发展</w:t>
      </w:r>
      <w:bookmarkEnd w:id="0"/>
      <w:r>
        <w:rPr>
          <w:rFonts w:hint="eastAsia" w:ascii="仿宋_GB2312" w:hAnsi="仿宋" w:eastAsia="仿宋_GB2312" w:cs="仿宋"/>
          <w:bCs/>
          <w:sz w:val="32"/>
          <w:szCs w:val="32"/>
          <w:shd w:val="clear" w:color="auto" w:fill="FFFFFF"/>
        </w:rPr>
        <w:t>等活动。</w:t>
      </w: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bCs/>
          <w:sz w:val="32"/>
          <w:szCs w:val="32"/>
          <w:shd w:val="clear" w:color="auto" w:fill="FFFFFF"/>
        </w:rPr>
      </w:pPr>
      <w:r>
        <w:rPr>
          <w:rFonts w:hint="eastAsia" w:ascii="仿宋_GB2312" w:hAnsi="仿宋" w:eastAsia="仿宋_GB2312" w:cs="仿宋"/>
          <w:bCs/>
          <w:sz w:val="32"/>
          <w:szCs w:val="32"/>
          <w:shd w:val="clear" w:color="auto" w:fill="FFFFFF"/>
        </w:rPr>
        <w:t>本条例所称广府菜是指起源于南番顺（南海、番禺、顺德）地区，并涵盖了珠江三角洲地区菜式风味，以追求肴馔呈现爽、脆、嫩、滑、弹的食品质感优先为本，以调和酸、甜、鲜、咸、苦的食品味道为辅，用料广博、选料精细、技艺精良、善于变化、品种多样的特色风味菜式。</w:t>
      </w:r>
    </w:p>
    <w:p>
      <w:pPr>
        <w:pStyle w:val="13"/>
        <w:widowControl/>
        <w:shd w:val="clear" w:color="auto" w:fill="FFFFFF"/>
        <w:spacing w:before="0" w:beforeAutospacing="0" w:after="0" w:afterAutospacing="0" w:line="560" w:lineRule="exact"/>
        <w:ind w:firstLine="641"/>
        <w:rPr>
          <w:rFonts w:hint="eastAsia" w:ascii="仿宋_GB2312" w:hAnsi="楷体" w:eastAsia="仿宋_GB2312" w:cs="楷体"/>
          <w:szCs w:val="24"/>
        </w:rPr>
      </w:pPr>
    </w:p>
    <w:p>
      <w:pPr>
        <w:pStyle w:val="13"/>
        <w:widowControl/>
        <w:shd w:val="clear" w:color="auto" w:fill="FFFFFF"/>
        <w:spacing w:before="0" w:beforeAutospacing="0" w:after="0" w:afterAutospacing="0"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第三条【基本原则】</w:t>
      </w:r>
      <w:r>
        <w:rPr>
          <w:rFonts w:hint="eastAsia" w:ascii="仿宋_GB2312" w:hAnsi="仿宋_GB2312" w:eastAsia="仿宋_GB2312" w:cs="仿宋_GB2312"/>
          <w:sz w:val="32"/>
          <w:szCs w:val="32"/>
          <w:shd w:val="clear" w:color="auto" w:fill="FFFFFF"/>
        </w:rPr>
        <w:t>广府菜传承发展工作应当坚持政府引导、市场主导、行业促进、社会参与的原则，落实各方主体责任。</w:t>
      </w:r>
    </w:p>
    <w:p>
      <w:pPr>
        <w:pStyle w:val="13"/>
        <w:widowControl/>
        <w:shd w:val="clear" w:color="auto" w:fill="FFFFFF"/>
        <w:spacing w:before="0" w:beforeAutospacing="0" w:after="0" w:afterAutospacing="0" w:line="560" w:lineRule="exact"/>
        <w:ind w:firstLine="480" w:firstLineChars="200"/>
        <w:rPr>
          <w:rFonts w:hint="eastAsia" w:ascii="仿宋_GB2312" w:hAnsi="仿宋" w:eastAsia="仿宋_GB2312" w:cs="楷体_GB2312"/>
        </w:rPr>
      </w:pPr>
    </w:p>
    <w:p>
      <w:pPr>
        <w:pStyle w:val="13"/>
        <w:widowControl/>
        <w:shd w:val="clear" w:color="auto" w:fill="FFFFFF"/>
        <w:spacing w:before="0" w:beforeAutospacing="0" w:after="0" w:afterAutospacing="0" w:line="560" w:lineRule="exact"/>
        <w:ind w:firstLine="642"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第四条【</w:t>
      </w:r>
      <w:r>
        <w:rPr>
          <w:rFonts w:hint="eastAsia" w:ascii="仿宋_GB2312" w:hAnsi="仿宋_GB2312" w:eastAsia="仿宋_GB2312" w:cs="仿宋_GB2312"/>
          <w:b/>
          <w:sz w:val="32"/>
          <w:szCs w:val="32"/>
          <w:shd w:val="clear" w:color="auto" w:fill="FFFFFF"/>
          <w:lang w:eastAsia="zh-CN"/>
        </w:rPr>
        <w:t>政府职责</w:t>
      </w:r>
      <w:r>
        <w:rPr>
          <w:rFonts w:hint="eastAsia" w:ascii="仿宋_GB2312" w:hAnsi="仿宋_GB2312" w:eastAsia="仿宋_GB2312" w:cs="仿宋_GB2312"/>
          <w:b/>
          <w:sz w:val="32"/>
          <w:szCs w:val="32"/>
          <w:shd w:val="clear" w:color="auto" w:fill="FFFFFF"/>
        </w:rPr>
        <w:t>】</w:t>
      </w:r>
      <w:r>
        <w:rPr>
          <w:rFonts w:hint="eastAsia" w:ascii="仿宋_GB2312" w:hAnsi="仿宋_GB2312" w:eastAsia="仿宋_GB2312" w:cs="仿宋_GB2312"/>
          <w:sz w:val="32"/>
          <w:szCs w:val="32"/>
          <w:shd w:val="clear" w:color="auto" w:fill="FFFFFF"/>
        </w:rPr>
        <w:t>市、区人民政府应当将广府菜产业发展纳入国民经济和社会发展总体规划</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加强对广府菜传承发展工作的领导，解决广府菜传承发展与产业促进中的重大问题。</w:t>
      </w:r>
    </w:p>
    <w:p>
      <w:pPr>
        <w:pStyle w:val="13"/>
        <w:widowControl/>
        <w:shd w:val="clear" w:color="auto" w:fill="FFFFFF"/>
        <w:spacing w:before="0" w:beforeAutospacing="0" w:after="0" w:afterAutospacing="0" w:line="560" w:lineRule="exact"/>
        <w:ind w:firstLine="640"/>
        <w:rPr>
          <w:rFonts w:hint="eastAsia" w:ascii="仿宋_GB2312" w:hAnsi="楷体_GB2312" w:eastAsia="仿宋_GB2312" w:cs="楷体_GB2312"/>
        </w:rPr>
      </w:pPr>
    </w:p>
    <w:p>
      <w:pPr>
        <w:pStyle w:val="13"/>
        <w:widowControl/>
        <w:shd w:val="clear" w:color="auto" w:fill="FFFFFF"/>
        <w:spacing w:before="0" w:beforeAutospacing="0" w:after="0" w:afterAutospacing="0" w:line="560" w:lineRule="exact"/>
        <w:ind w:firstLine="642"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
          <w:bCs/>
          <w:sz w:val="32"/>
          <w:szCs w:val="32"/>
          <w:shd w:val="clear" w:color="auto" w:fill="FFFFFF"/>
        </w:rPr>
        <w:t>第</w:t>
      </w:r>
      <w:r>
        <w:rPr>
          <w:rFonts w:hint="eastAsia" w:ascii="仿宋_GB2312" w:hAnsi="仿宋_GB2312" w:eastAsia="仿宋_GB2312" w:cs="仿宋_GB2312"/>
          <w:b/>
          <w:bCs/>
          <w:sz w:val="32"/>
          <w:szCs w:val="32"/>
          <w:shd w:val="clear" w:color="auto" w:fill="FFFFFF"/>
          <w:lang w:eastAsia="zh-CN"/>
        </w:rPr>
        <w:t>五</w:t>
      </w:r>
      <w:r>
        <w:rPr>
          <w:rFonts w:hint="eastAsia" w:ascii="仿宋_GB2312" w:hAnsi="仿宋_GB2312" w:eastAsia="仿宋_GB2312" w:cs="仿宋_GB2312"/>
          <w:b/>
          <w:bCs/>
          <w:sz w:val="32"/>
          <w:szCs w:val="32"/>
          <w:shd w:val="clear" w:color="auto" w:fill="FFFFFF"/>
        </w:rPr>
        <w:t>条【部门职责】</w:t>
      </w:r>
      <w:r>
        <w:rPr>
          <w:rFonts w:hint="eastAsia" w:ascii="仿宋_GB2312" w:hAnsi="仿宋_GB2312" w:eastAsia="仿宋_GB2312" w:cs="仿宋_GB2312"/>
          <w:bCs/>
          <w:sz w:val="32"/>
          <w:szCs w:val="32"/>
          <w:shd w:val="clear" w:color="auto" w:fill="FFFFFF"/>
        </w:rPr>
        <w:t>发展改革部门负责制定促进广府菜产业发展的专项规划和产业扶持政策。</w:t>
      </w:r>
    </w:p>
    <w:p>
      <w:pPr>
        <w:pStyle w:val="13"/>
        <w:widowControl/>
        <w:shd w:val="clear" w:color="auto" w:fill="FFFFFF"/>
        <w:spacing w:before="0" w:beforeAutospacing="0" w:after="0" w:afterAutospacing="0" w:line="560" w:lineRule="exact"/>
        <w:ind w:firstLine="641"/>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财政部门负责“粤菜师傅”专项资金和政府性产业发展基金使用的监督管理工作。</w:t>
      </w:r>
    </w:p>
    <w:p>
      <w:pPr>
        <w:pStyle w:val="13"/>
        <w:widowControl/>
        <w:shd w:val="clear" w:color="auto" w:fill="FFFFFF"/>
        <w:spacing w:before="0" w:beforeAutospacing="0" w:after="0" w:afterAutospacing="0" w:line="560" w:lineRule="exact"/>
        <w:ind w:firstLine="641"/>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人力资源社会保障部门负责制定“粤菜师傅”的职业技能等级认定和专项职业能力考核的评价考核体系，指导有关机构开展广府菜技能人才的职业能力培训，组织开展广府菜名师、名厨的评选和认定，指导有关单位开展广府菜技艺展示、评比工作。</w:t>
      </w:r>
    </w:p>
    <w:p>
      <w:pPr>
        <w:pStyle w:val="13"/>
        <w:widowControl/>
        <w:shd w:val="clear" w:color="auto" w:fill="FFFFFF"/>
        <w:spacing w:before="0" w:beforeAutospacing="0" w:after="0" w:afterAutospacing="0" w:line="560" w:lineRule="exact"/>
        <w:ind w:firstLine="641"/>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市场监督管理部门负责广府菜食品安全监督管理，指导开展广府菜标准体系建设，进行广府菜的商标、地理标志产品和商业秘密的行政保护工作，维护广府菜公平交易、诚信经营的市场秩序。</w:t>
      </w:r>
    </w:p>
    <w:p>
      <w:pPr>
        <w:pStyle w:val="13"/>
        <w:widowControl/>
        <w:shd w:val="clear" w:color="auto" w:fill="FFFFFF"/>
        <w:spacing w:before="0" w:beforeAutospacing="0" w:after="0" w:afterAutospacing="0" w:line="560" w:lineRule="exact"/>
        <w:ind w:firstLine="641"/>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文化广电旅游体育部门负责本市广府菜非物质文化遗产代表性项目和代表性传承人的认定和保护工作，指导项目代表性传承人开展广府菜技艺文化的传承与传播，指导有关单位开展广府菜传统文化宣传、弘扬与交流活动，促进文化旅游产业与广府菜产业的融合发展。</w:t>
      </w:r>
    </w:p>
    <w:p>
      <w:pPr>
        <w:pStyle w:val="13"/>
        <w:widowControl/>
        <w:shd w:val="clear" w:color="auto" w:fill="FFFFFF"/>
        <w:spacing w:before="0" w:beforeAutospacing="0" w:after="0" w:afterAutospacing="0" w:line="560" w:lineRule="exact"/>
        <w:ind w:firstLine="641"/>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商务部门负责组织开展广府菜服务规范化建设，推动广府菜服务创新、管理创新、市场创新和经营模式创新，推动广府菜产业合理布局、产业联动和品牌建设，组织开展粤菜名店</w:t>
      </w:r>
      <w:r>
        <w:rPr>
          <w:rFonts w:hint="eastAsia" w:ascii="仿宋_GB2312" w:hAnsi="仿宋_GB2312" w:eastAsia="仿宋_GB2312" w:cs="仿宋_GB2312"/>
          <w:bCs/>
          <w:sz w:val="32"/>
          <w:szCs w:val="32"/>
          <w:shd w:val="clear" w:color="auto" w:fill="FFFFFF"/>
          <w:lang w:eastAsia="zh-CN"/>
        </w:rPr>
        <w:t>、</w:t>
      </w:r>
      <w:r>
        <w:rPr>
          <w:rFonts w:hint="eastAsia" w:ascii="仿宋_GB2312" w:hAnsi="仿宋_GB2312" w:eastAsia="仿宋_GB2312" w:cs="仿宋_GB2312"/>
          <w:bCs/>
          <w:sz w:val="32"/>
          <w:szCs w:val="32"/>
          <w:shd w:val="clear" w:color="auto" w:fill="FFFFFF"/>
        </w:rPr>
        <w:t>名菜、</w:t>
      </w:r>
      <w:r>
        <w:rPr>
          <w:rFonts w:hint="eastAsia" w:ascii="仿宋_GB2312" w:hAnsi="仿宋_GB2312" w:eastAsia="仿宋_GB2312" w:cs="仿宋_GB2312"/>
          <w:bCs/>
          <w:sz w:val="32"/>
          <w:szCs w:val="32"/>
          <w:shd w:val="clear" w:color="auto" w:fill="FFFFFF"/>
          <w:lang w:eastAsia="zh-CN"/>
        </w:rPr>
        <w:t>名点</w:t>
      </w:r>
      <w:r>
        <w:rPr>
          <w:rFonts w:hint="eastAsia" w:ascii="仿宋_GB2312" w:hAnsi="仿宋_GB2312" w:eastAsia="仿宋_GB2312" w:cs="仿宋_GB2312"/>
          <w:bCs/>
          <w:sz w:val="32"/>
          <w:szCs w:val="32"/>
          <w:shd w:val="clear" w:color="auto" w:fill="FFFFFF"/>
        </w:rPr>
        <w:t>认定工作。</w:t>
      </w:r>
    </w:p>
    <w:p>
      <w:pPr>
        <w:pStyle w:val="13"/>
        <w:widowControl/>
        <w:shd w:val="clear" w:color="auto" w:fill="FFFFFF"/>
        <w:spacing w:before="0" w:beforeAutospacing="0" w:after="0" w:afterAutospacing="0" w:line="560" w:lineRule="exact"/>
        <w:ind w:firstLine="641"/>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农业农村部门负责广府菜原材料品质的监督管理，促进广府菜原辅材料的种植、养殖和生产产业化，促进乡村振兴事业与广府菜产业融合发展。</w:t>
      </w:r>
    </w:p>
    <w:p>
      <w:pPr>
        <w:pStyle w:val="13"/>
        <w:widowControl/>
        <w:shd w:val="clear" w:color="auto" w:fill="FFFFFF"/>
        <w:spacing w:before="0" w:beforeAutospacing="0" w:after="0" w:afterAutospacing="0" w:line="560" w:lineRule="exact"/>
        <w:ind w:firstLine="641"/>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shd w:val="clear" w:color="auto" w:fill="FFFFFF"/>
        </w:rPr>
        <w:t>其他部门在各自职责范围内做好广府菜传承发展促进的有关工作。</w:t>
      </w:r>
    </w:p>
    <w:p>
      <w:pPr>
        <w:pStyle w:val="13"/>
        <w:widowControl/>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shd w:val="clear" w:color="auto" w:fill="FFFFFF"/>
        </w:rPr>
      </w:pPr>
    </w:p>
    <w:p>
      <w:pPr>
        <w:pStyle w:val="13"/>
        <w:widowControl/>
        <w:shd w:val="clear" w:color="auto" w:fill="FFFFFF"/>
        <w:spacing w:before="0" w:beforeAutospacing="0" w:after="0" w:afterAutospacing="0" w:line="560" w:lineRule="exact"/>
        <w:ind w:firstLine="642"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w:t>
      </w:r>
      <w:r>
        <w:rPr>
          <w:rFonts w:hint="eastAsia" w:ascii="仿宋_GB2312" w:hAnsi="仿宋_GB2312" w:eastAsia="仿宋_GB2312" w:cs="仿宋_GB2312"/>
          <w:b/>
          <w:sz w:val="32"/>
          <w:szCs w:val="32"/>
          <w:shd w:val="clear" w:color="auto" w:fill="FFFFFF"/>
          <w:lang w:eastAsia="zh-CN"/>
        </w:rPr>
        <w:t>六</w:t>
      </w:r>
      <w:r>
        <w:rPr>
          <w:rFonts w:hint="eastAsia" w:ascii="仿宋_GB2312" w:hAnsi="仿宋_GB2312" w:eastAsia="仿宋_GB2312" w:cs="仿宋_GB2312"/>
          <w:b/>
          <w:sz w:val="32"/>
          <w:szCs w:val="32"/>
          <w:shd w:val="clear" w:color="auto" w:fill="FFFFFF"/>
        </w:rPr>
        <w:t>条【资金保障】</w:t>
      </w:r>
      <w:r>
        <w:rPr>
          <w:rFonts w:hint="eastAsia" w:ascii="仿宋_GB2312" w:hAnsi="仿宋_GB2312" w:eastAsia="仿宋_GB2312" w:cs="仿宋_GB2312"/>
          <w:sz w:val="32"/>
          <w:szCs w:val="32"/>
          <w:shd w:val="clear" w:color="auto" w:fill="FFFFFF"/>
        </w:rPr>
        <w:t>市、区人民政府应当将广府菜传承发展工作所需经费纳入本级财政预算并设立广府菜产业发展专项资金。</w:t>
      </w:r>
    </w:p>
    <w:p>
      <w:pPr>
        <w:pStyle w:val="13"/>
        <w:widowControl/>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鼓励和引导社会资本参与广府菜传承发展与产业促进工作。</w:t>
      </w:r>
    </w:p>
    <w:p>
      <w:pPr>
        <w:pStyle w:val="13"/>
        <w:widowControl/>
        <w:shd w:val="clear" w:color="auto" w:fill="FFFFFF"/>
        <w:spacing w:before="0" w:beforeAutospacing="0" w:after="0" w:afterAutospacing="0" w:line="560" w:lineRule="exact"/>
        <w:ind w:firstLine="480" w:firstLineChars="200"/>
        <w:rPr>
          <w:rFonts w:hint="eastAsia" w:ascii="仿宋_GB2312" w:hAnsi="楷体_GB2312" w:eastAsia="仿宋_GB2312" w:cs="楷体_GB2312"/>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b/>
          <w:bCs/>
          <w:sz w:val="32"/>
          <w:szCs w:val="32"/>
        </w:rPr>
        <w:t>第</w:t>
      </w:r>
      <w:r>
        <w:rPr>
          <w:rFonts w:hint="eastAsia" w:ascii="仿宋_GB2312" w:hAnsi="仿宋" w:eastAsia="仿宋_GB2312" w:cs="仿宋"/>
          <w:b/>
          <w:bCs/>
          <w:sz w:val="32"/>
          <w:szCs w:val="32"/>
          <w:lang w:eastAsia="zh-CN"/>
        </w:rPr>
        <w:t>七</w:t>
      </w:r>
      <w:r>
        <w:rPr>
          <w:rFonts w:hint="eastAsia" w:ascii="仿宋_GB2312" w:hAnsi="仿宋" w:eastAsia="仿宋_GB2312" w:cs="仿宋"/>
          <w:b/>
          <w:bCs/>
          <w:sz w:val="32"/>
          <w:szCs w:val="32"/>
        </w:rPr>
        <w:t>条【行业管理】</w:t>
      </w:r>
      <w:r>
        <w:rPr>
          <w:rFonts w:hint="eastAsia" w:ascii="仿宋_GB2312" w:hAnsi="仿宋" w:eastAsia="仿宋_GB2312" w:cs="仿宋"/>
          <w:sz w:val="32"/>
          <w:szCs w:val="32"/>
        </w:rPr>
        <w:t>行业协会应当加强对会员的服务、指导、自律管理工作，搜集行业发展动态，建立行业交流平台，开展餐饮企业评级，推动广府菜产业创新发展。</w:t>
      </w:r>
    </w:p>
    <w:p>
      <w:pPr>
        <w:spacing w:line="560" w:lineRule="exact"/>
        <w:ind w:firstLine="3200" w:firstLineChars="1000"/>
        <w:rPr>
          <w:rFonts w:hint="eastAsia" w:ascii="仿宋_GB2312" w:hAnsi="黑体" w:eastAsia="仿宋_GB2312" w:cs="黑体"/>
          <w:kern w:val="0"/>
          <w:sz w:val="32"/>
          <w:szCs w:val="32"/>
        </w:rPr>
      </w:pPr>
    </w:p>
    <w:p>
      <w:pPr>
        <w:spacing w:line="560" w:lineRule="exact"/>
        <w:ind w:firstLine="642" w:firstLineChars="200"/>
        <w:rPr>
          <w:rFonts w:hint="eastAsia" w:ascii="仿宋_GB2312" w:hAnsi="仿宋" w:eastAsia="仿宋_GB2312" w:cs="仿宋"/>
          <w:b/>
          <w:bCs/>
          <w:kern w:val="0"/>
          <w:sz w:val="32"/>
          <w:szCs w:val="32"/>
          <w:shd w:val="clear" w:color="auto" w:fill="FFFFFF"/>
        </w:rPr>
      </w:pPr>
      <w:r>
        <w:rPr>
          <w:rFonts w:hint="eastAsia" w:ascii="仿宋_GB2312" w:hAnsi="仿宋" w:eastAsia="仿宋_GB2312" w:cs="仿宋"/>
          <w:b/>
          <w:bCs/>
          <w:kern w:val="0"/>
          <w:sz w:val="32"/>
          <w:szCs w:val="32"/>
          <w:shd w:val="clear" w:color="auto" w:fill="FFFFFF"/>
        </w:rPr>
        <w:t>第</w:t>
      </w:r>
      <w:r>
        <w:rPr>
          <w:rFonts w:hint="eastAsia" w:ascii="仿宋_GB2312" w:hAnsi="仿宋" w:eastAsia="仿宋_GB2312" w:cs="仿宋"/>
          <w:b/>
          <w:bCs/>
          <w:kern w:val="0"/>
          <w:sz w:val="32"/>
          <w:szCs w:val="32"/>
          <w:shd w:val="clear" w:color="auto" w:fill="FFFFFF"/>
          <w:lang w:eastAsia="zh-CN"/>
        </w:rPr>
        <w:t>八</w:t>
      </w:r>
      <w:r>
        <w:rPr>
          <w:rFonts w:hint="eastAsia" w:ascii="仿宋_GB2312" w:hAnsi="仿宋" w:eastAsia="仿宋_GB2312" w:cs="仿宋"/>
          <w:b/>
          <w:bCs/>
          <w:kern w:val="0"/>
          <w:sz w:val="32"/>
          <w:szCs w:val="32"/>
          <w:shd w:val="clear" w:color="auto" w:fill="FFFFFF"/>
        </w:rPr>
        <w:t>条【产业标准】</w:t>
      </w:r>
      <w:r>
        <w:rPr>
          <w:rFonts w:hint="eastAsia" w:ascii="仿宋_GB2312" w:hAnsi="仿宋" w:eastAsia="仿宋_GB2312" w:cs="仿宋"/>
          <w:sz w:val="32"/>
          <w:szCs w:val="32"/>
          <w:shd w:val="clear" w:color="auto" w:fill="FFFFFF"/>
        </w:rPr>
        <w:t>市</w:t>
      </w:r>
      <w:r>
        <w:rPr>
          <w:rFonts w:hint="eastAsia" w:ascii="仿宋_GB2312" w:hAnsi="仿宋" w:eastAsia="仿宋_GB2312" w:cs="仿宋"/>
          <w:kern w:val="0"/>
          <w:sz w:val="32"/>
          <w:szCs w:val="32"/>
          <w:shd w:val="clear" w:color="auto" w:fill="FFFFFF"/>
        </w:rPr>
        <w:t>市场监督管理部门会同市商务、农业农村、卫生健康等部门加强广府菜标准体系的规划，推动行业协会、相关企业研究制定广府菜菜品、服务、营养等团体标准、企业标准</w:t>
      </w:r>
      <w:r>
        <w:rPr>
          <w:rFonts w:hint="eastAsia" w:ascii="仿宋_GB2312" w:hAnsi="仿宋" w:eastAsia="仿宋_GB2312" w:cs="仿宋"/>
          <w:kern w:val="0"/>
          <w:sz w:val="32"/>
          <w:szCs w:val="32"/>
          <w:lang w:bidi="ar"/>
        </w:rPr>
        <w:t>。</w:t>
      </w:r>
    </w:p>
    <w:p>
      <w:pPr>
        <w:spacing w:line="560" w:lineRule="exact"/>
        <w:ind w:firstLine="480" w:firstLineChars="200"/>
        <w:rPr>
          <w:rFonts w:hint="eastAsia" w:ascii="仿宋_GB2312" w:hAnsi="楷体" w:eastAsia="仿宋_GB2312" w:cs="楷体"/>
          <w:kern w:val="0"/>
          <w:sz w:val="24"/>
          <w:szCs w:val="24"/>
          <w:lang w:bidi="ar"/>
        </w:rPr>
      </w:pPr>
    </w:p>
    <w:p>
      <w:pPr>
        <w:overflowPunct w:val="0"/>
        <w:spacing w:line="560" w:lineRule="exact"/>
        <w:ind w:firstLine="642" w:firstLineChars="200"/>
        <w:rPr>
          <w:rFonts w:ascii="仿宋_GB2312" w:hAnsi="仿宋" w:eastAsia="仿宋_GB2312" w:cs="仿宋"/>
          <w:kern w:val="0"/>
          <w:sz w:val="32"/>
          <w:szCs w:val="32"/>
          <w:lang w:bidi="ar"/>
        </w:rPr>
      </w:pPr>
      <w:r>
        <w:rPr>
          <w:rFonts w:hint="eastAsia" w:ascii="仿宋_GB2312" w:hAnsi="仿宋" w:eastAsia="仿宋_GB2312" w:cs="仿宋"/>
          <w:b/>
          <w:bCs/>
          <w:kern w:val="0"/>
          <w:sz w:val="32"/>
          <w:szCs w:val="32"/>
          <w:shd w:val="clear" w:color="auto" w:fill="FFFFFF"/>
        </w:rPr>
        <w:t>第</w:t>
      </w:r>
      <w:r>
        <w:rPr>
          <w:rFonts w:hint="eastAsia" w:ascii="仿宋_GB2312" w:hAnsi="仿宋" w:eastAsia="仿宋_GB2312" w:cs="仿宋"/>
          <w:b/>
          <w:bCs/>
          <w:kern w:val="0"/>
          <w:sz w:val="32"/>
          <w:szCs w:val="32"/>
          <w:shd w:val="clear" w:color="auto" w:fill="FFFFFF"/>
          <w:lang w:eastAsia="zh-CN"/>
        </w:rPr>
        <w:t>九</w:t>
      </w:r>
      <w:r>
        <w:rPr>
          <w:rFonts w:hint="eastAsia" w:ascii="仿宋_GB2312" w:hAnsi="仿宋" w:eastAsia="仿宋_GB2312" w:cs="仿宋"/>
          <w:b/>
          <w:bCs/>
          <w:kern w:val="0"/>
          <w:sz w:val="32"/>
          <w:szCs w:val="32"/>
          <w:shd w:val="clear" w:color="auto" w:fill="FFFFFF"/>
        </w:rPr>
        <w:t>条【名菜名录】</w:t>
      </w:r>
      <w:bookmarkStart w:id="1" w:name="_Hlk103335221"/>
      <w:r>
        <w:rPr>
          <w:rFonts w:hint="eastAsia" w:ascii="仿宋_GB2312" w:hAnsi="仿宋" w:eastAsia="仿宋_GB2312" w:cs="仿宋"/>
          <w:kern w:val="0"/>
          <w:sz w:val="32"/>
          <w:szCs w:val="32"/>
          <w:shd w:val="clear" w:color="auto" w:fill="FFFFFF"/>
        </w:rPr>
        <w:t>市商务部门</w:t>
      </w:r>
      <w:bookmarkEnd w:id="1"/>
      <w:r>
        <w:rPr>
          <w:rFonts w:hint="eastAsia" w:ascii="仿宋_GB2312" w:hAnsi="仿宋" w:eastAsia="仿宋_GB2312" w:cs="仿宋"/>
          <w:kern w:val="0"/>
          <w:sz w:val="32"/>
          <w:szCs w:val="32"/>
          <w:shd w:val="clear" w:color="auto" w:fill="FFFFFF"/>
        </w:rPr>
        <w:t>会同</w:t>
      </w:r>
      <w:r>
        <w:rPr>
          <w:rFonts w:hint="eastAsia" w:ascii="仿宋_GB2312" w:hAnsi="仿宋" w:eastAsia="仿宋_GB2312" w:cs="仿宋"/>
          <w:kern w:val="0"/>
          <w:sz w:val="32"/>
          <w:szCs w:val="32"/>
          <w:shd w:val="clear" w:color="auto" w:fill="FFFFFF"/>
          <w:lang w:eastAsia="zh-CN"/>
        </w:rPr>
        <w:t>市</w:t>
      </w:r>
      <w:r>
        <w:rPr>
          <w:rFonts w:hint="eastAsia" w:ascii="仿宋_GB2312" w:hAnsi="仿宋" w:eastAsia="仿宋_GB2312" w:cs="仿宋"/>
          <w:kern w:val="0"/>
          <w:sz w:val="32"/>
          <w:szCs w:val="32"/>
          <w:shd w:val="clear" w:color="auto" w:fill="FFFFFF"/>
        </w:rPr>
        <w:t>人力资源社会保障部门、文化广电旅游体育部门</w:t>
      </w:r>
      <w:r>
        <w:rPr>
          <w:rFonts w:hint="eastAsia" w:ascii="仿宋_GB2312" w:hAnsi="仿宋" w:eastAsia="仿宋_GB2312" w:cs="仿宋"/>
          <w:kern w:val="0"/>
          <w:sz w:val="32"/>
          <w:szCs w:val="32"/>
          <w:shd w:val="clear" w:color="auto" w:fill="FFFFFF"/>
          <w:lang w:eastAsia="zh-CN"/>
        </w:rPr>
        <w:t>、</w:t>
      </w:r>
      <w:r>
        <w:rPr>
          <w:rFonts w:hint="eastAsia" w:ascii="仿宋_GB2312" w:hAnsi="仿宋" w:eastAsia="仿宋_GB2312" w:cs="仿宋"/>
          <w:kern w:val="0"/>
          <w:sz w:val="32"/>
          <w:szCs w:val="32"/>
          <w:shd w:val="clear" w:color="auto" w:fill="FFFFFF"/>
        </w:rPr>
        <w:t>市场监督管理部门</w:t>
      </w:r>
      <w:r>
        <w:rPr>
          <w:rFonts w:hint="eastAsia" w:ascii="仿宋_GB2312" w:hAnsi="仿宋" w:eastAsia="仿宋_GB2312" w:cs="仿宋"/>
          <w:kern w:val="0"/>
          <w:sz w:val="32"/>
          <w:szCs w:val="32"/>
          <w:lang w:bidi="ar"/>
        </w:rPr>
        <w:t>建立粤菜名菜名录制度。</w:t>
      </w:r>
    </w:p>
    <w:p>
      <w:pPr>
        <w:overflowPunct w:val="0"/>
        <w:spacing w:line="560" w:lineRule="exact"/>
        <w:ind w:firstLine="640" w:firstLineChars="200"/>
        <w:rPr>
          <w:rFonts w:ascii="仿宋_GB2312" w:hAnsi="仿宋" w:eastAsia="仿宋_GB2312" w:cs="仿宋"/>
          <w:kern w:val="0"/>
          <w:sz w:val="32"/>
          <w:szCs w:val="32"/>
          <w:lang w:bidi="ar"/>
        </w:rPr>
      </w:pPr>
      <w:r>
        <w:rPr>
          <w:rFonts w:ascii="仿宋_GB2312" w:hAnsi="仿宋" w:eastAsia="仿宋_GB2312" w:cs="仿宋"/>
          <w:kern w:val="0"/>
          <w:sz w:val="32"/>
          <w:szCs w:val="32"/>
          <w:shd w:val="clear" w:color="auto" w:fill="FFFFFF"/>
        </w:rPr>
        <w:t>列入</w:t>
      </w:r>
      <w:r>
        <w:rPr>
          <w:rFonts w:hint="eastAsia" w:ascii="仿宋_GB2312" w:hAnsi="仿宋" w:eastAsia="仿宋_GB2312" w:cs="仿宋"/>
          <w:kern w:val="0"/>
          <w:sz w:val="32"/>
          <w:szCs w:val="32"/>
          <w:lang w:bidi="ar"/>
        </w:rPr>
        <w:t>名菜名录的</w:t>
      </w:r>
      <w:r>
        <w:rPr>
          <w:rFonts w:hint="eastAsia" w:ascii="仿宋_GB2312" w:hAnsi="仿宋" w:eastAsia="仿宋_GB2312" w:cs="仿宋"/>
          <w:kern w:val="0"/>
          <w:sz w:val="32"/>
          <w:szCs w:val="32"/>
          <w:shd w:val="clear" w:color="auto" w:fill="FFFFFF"/>
        </w:rPr>
        <w:t>广府菜，应</w:t>
      </w:r>
      <w:r>
        <w:rPr>
          <w:rFonts w:hint="eastAsia" w:ascii="仿宋_GB2312" w:hAnsi="仿宋" w:eastAsia="仿宋_GB2312" w:cs="仿宋"/>
          <w:kern w:val="0"/>
          <w:sz w:val="32"/>
          <w:szCs w:val="32"/>
          <w:lang w:bidi="ar"/>
        </w:rPr>
        <w:t>建立数字化菜谱档案。菜谱档案以文字、图片、音视频或其组合方式记录菜品原材料、辅助配料、菜系品相、制作流程、菜系特点、营养成分、文化特色、申报单位、代表性名师、名厨等内容。</w:t>
      </w:r>
    </w:p>
    <w:p>
      <w:pPr>
        <w:pStyle w:val="13"/>
        <w:widowControl/>
        <w:shd w:val="clear" w:color="auto" w:fill="FFFFFF"/>
        <w:spacing w:before="0" w:beforeAutospacing="0" w:after="0" w:afterAutospacing="0" w:line="560" w:lineRule="exact"/>
        <w:ind w:firstLine="480" w:firstLineChars="200"/>
        <w:jc w:val="both"/>
        <w:rPr>
          <w:rFonts w:hint="eastAsia" w:ascii="仿宋_GB2312" w:hAnsi="楷体" w:eastAsia="仿宋_GB2312" w:cs="楷体"/>
          <w:szCs w:val="24"/>
          <w:lang w:bidi="ar"/>
        </w:rPr>
      </w:pPr>
    </w:p>
    <w:p>
      <w:pPr>
        <w:spacing w:line="560" w:lineRule="exact"/>
        <w:ind w:firstLine="642" w:firstLineChars="200"/>
        <w:rPr>
          <w:rFonts w:hint="eastAsia" w:ascii="仿宋_GB2312" w:hAnsi="仿宋" w:eastAsia="仿宋_GB2312" w:cs="仿宋"/>
          <w:kern w:val="0"/>
          <w:sz w:val="32"/>
          <w:szCs w:val="32"/>
          <w:lang w:bidi="ar"/>
        </w:rPr>
      </w:pPr>
      <w:r>
        <w:rPr>
          <w:rFonts w:hint="eastAsia" w:ascii="仿宋_GB2312" w:hAnsi="仿宋" w:eastAsia="仿宋_GB2312" w:cs="仿宋"/>
          <w:b/>
          <w:bCs/>
          <w:kern w:val="0"/>
          <w:sz w:val="32"/>
          <w:szCs w:val="32"/>
          <w:shd w:val="clear" w:color="auto" w:fill="FFFFFF"/>
        </w:rPr>
        <w:t>第十条【人才培养】</w:t>
      </w:r>
      <w:r>
        <w:rPr>
          <w:rFonts w:hint="eastAsia" w:ascii="仿宋_GB2312" w:hAnsi="仿宋" w:eastAsia="仿宋_GB2312" w:cs="仿宋"/>
          <w:kern w:val="0"/>
          <w:sz w:val="32"/>
          <w:szCs w:val="32"/>
          <w:lang w:bidi="ar"/>
        </w:rPr>
        <w:t>市、区人民政府统筹利用各类培训资源，加强广府菜烹饪、经营管理、市场营销、预制菜生产、餐饮服务、物流配送等人才职业教育和培训，打造广府菜发展促进的人才支撑体系。</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市人力资源社会保障部门、教育部门应当加强“粤菜师傅”培训及职业教育，完善线上线下</w:t>
      </w:r>
      <w:r>
        <w:rPr>
          <w:rFonts w:hint="eastAsia" w:ascii="仿宋_GB2312" w:hAnsi="仿宋" w:eastAsia="仿宋_GB2312" w:cs="仿宋"/>
          <w:kern w:val="0"/>
          <w:sz w:val="32"/>
          <w:szCs w:val="32"/>
          <w:lang w:eastAsia="zh-CN" w:bidi="ar"/>
        </w:rPr>
        <w:t>职业技能</w:t>
      </w:r>
      <w:r>
        <w:rPr>
          <w:rFonts w:hint="eastAsia" w:ascii="仿宋_GB2312" w:hAnsi="仿宋" w:eastAsia="仿宋_GB2312" w:cs="仿宋"/>
          <w:kern w:val="0"/>
          <w:sz w:val="32"/>
          <w:szCs w:val="32"/>
          <w:lang w:bidi="ar"/>
        </w:rPr>
        <w:t>培训体系，推进</w:t>
      </w:r>
      <w:r>
        <w:rPr>
          <w:rFonts w:hint="eastAsia" w:ascii="仿宋_GB2312" w:hAnsi="仿宋" w:eastAsia="仿宋_GB2312" w:cs="仿宋"/>
          <w:kern w:val="0"/>
          <w:sz w:val="32"/>
          <w:szCs w:val="32"/>
          <w:lang w:eastAsia="zh-CN" w:bidi="ar"/>
        </w:rPr>
        <w:t>广府菜人才</w:t>
      </w:r>
      <w:r>
        <w:rPr>
          <w:rFonts w:hint="eastAsia" w:ascii="仿宋_GB2312" w:hAnsi="仿宋" w:eastAsia="仿宋_GB2312" w:cs="仿宋"/>
          <w:kern w:val="0"/>
          <w:sz w:val="32"/>
          <w:szCs w:val="32"/>
          <w:lang w:bidi="ar"/>
        </w:rPr>
        <w:t xml:space="preserve">多层次培训。  </w:t>
      </w:r>
    </w:p>
    <w:p>
      <w:pPr>
        <w:spacing w:line="560" w:lineRule="exact"/>
        <w:ind w:firstLine="640" w:firstLineChars="2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职业院校、技工院校加强广府菜相关专业学科建设，完善硬件设施和实训工位等配置，依托新型学徒制和现代学徒制等校企联合培养模式定向培养行业人才。加强“粤菜师傅”培训基地和大师工作室建设，提高培养培训能力。</w:t>
      </w:r>
    </w:p>
    <w:p>
      <w:pPr>
        <w:pStyle w:val="13"/>
        <w:widowControl/>
        <w:shd w:val="clear" w:color="auto" w:fill="FFFFFF"/>
        <w:spacing w:before="0" w:beforeAutospacing="0" w:after="0" w:afterAutospacing="0" w:line="560" w:lineRule="exact"/>
        <w:ind w:firstLine="480" w:firstLineChars="200"/>
        <w:rPr>
          <w:rFonts w:hint="eastAsia" w:ascii="仿宋_GB2312" w:hAnsi="楷体" w:eastAsia="仿宋_GB2312" w:cs="楷体"/>
          <w:szCs w:val="24"/>
        </w:rPr>
      </w:pPr>
    </w:p>
    <w:p>
      <w:pPr>
        <w:spacing w:line="560" w:lineRule="exact"/>
        <w:ind w:firstLine="642"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b/>
          <w:bCs/>
          <w:kern w:val="0"/>
          <w:sz w:val="32"/>
          <w:szCs w:val="32"/>
          <w:shd w:val="clear" w:color="auto" w:fill="FFFFFF"/>
        </w:rPr>
        <w:t>第十</w:t>
      </w:r>
      <w:r>
        <w:rPr>
          <w:rFonts w:hint="eastAsia" w:ascii="仿宋_GB2312" w:hAnsi="仿宋" w:eastAsia="仿宋_GB2312" w:cs="仿宋"/>
          <w:b/>
          <w:bCs/>
          <w:kern w:val="0"/>
          <w:sz w:val="32"/>
          <w:szCs w:val="32"/>
          <w:shd w:val="clear" w:color="auto" w:fill="FFFFFF"/>
          <w:lang w:eastAsia="zh-CN"/>
        </w:rPr>
        <w:t>一</w:t>
      </w:r>
      <w:r>
        <w:rPr>
          <w:rFonts w:hint="eastAsia" w:ascii="仿宋_GB2312" w:hAnsi="仿宋" w:eastAsia="仿宋_GB2312" w:cs="仿宋"/>
          <w:b/>
          <w:bCs/>
          <w:kern w:val="0"/>
          <w:sz w:val="32"/>
          <w:szCs w:val="32"/>
          <w:shd w:val="clear" w:color="auto" w:fill="FFFFFF"/>
        </w:rPr>
        <w:t>条【技能评价】</w:t>
      </w:r>
      <w:r>
        <w:rPr>
          <w:rFonts w:hint="eastAsia" w:ascii="仿宋_GB2312" w:hAnsi="仿宋" w:eastAsia="仿宋_GB2312" w:cs="仿宋"/>
          <w:kern w:val="0"/>
          <w:sz w:val="32"/>
          <w:szCs w:val="32"/>
          <w:shd w:val="clear" w:color="auto" w:fill="FFFFFF"/>
        </w:rPr>
        <w:t>市人力资源社会保障部门建立健全以产业发展为导向，职业能力为标准，行业协会、企业和院校共同参与的“粤菜师傅”职业技能评价体系，实行企业自主评价、社会第三方评价、竞赛选拨评价等多元化评价方式。</w:t>
      </w:r>
    </w:p>
    <w:p>
      <w:pPr>
        <w:spacing w:line="560" w:lineRule="exact"/>
        <w:ind w:firstLine="640"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鼓励符合条件的企业、院校等社会培训评价组织自主开展职业技能等级认定工作。</w:t>
      </w:r>
    </w:p>
    <w:p>
      <w:pPr>
        <w:spacing w:line="560" w:lineRule="exact"/>
        <w:ind w:firstLine="642" w:firstLineChars="200"/>
        <w:rPr>
          <w:rFonts w:hint="eastAsia" w:ascii="仿宋_GB2312" w:hAnsi="仿宋" w:eastAsia="仿宋_GB2312" w:cs="仿宋"/>
          <w:b/>
          <w:bCs/>
          <w:kern w:val="0"/>
          <w:sz w:val="32"/>
          <w:szCs w:val="32"/>
          <w:shd w:val="clear" w:color="auto" w:fill="FFFFFF"/>
        </w:rPr>
      </w:pPr>
    </w:p>
    <w:p>
      <w:pPr>
        <w:spacing w:line="560" w:lineRule="exact"/>
        <w:ind w:firstLine="642"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b/>
          <w:bCs/>
          <w:kern w:val="0"/>
          <w:sz w:val="32"/>
          <w:szCs w:val="32"/>
          <w:shd w:val="clear" w:color="auto" w:fill="FFFFFF"/>
        </w:rPr>
        <w:t>第十</w:t>
      </w:r>
      <w:r>
        <w:rPr>
          <w:rFonts w:hint="eastAsia" w:ascii="仿宋_GB2312" w:hAnsi="仿宋" w:eastAsia="仿宋_GB2312" w:cs="仿宋"/>
          <w:b/>
          <w:bCs/>
          <w:kern w:val="0"/>
          <w:sz w:val="32"/>
          <w:szCs w:val="32"/>
          <w:shd w:val="clear" w:color="auto" w:fill="FFFFFF"/>
          <w:lang w:eastAsia="zh-CN"/>
        </w:rPr>
        <w:t>二</w:t>
      </w:r>
      <w:r>
        <w:rPr>
          <w:rFonts w:hint="eastAsia" w:ascii="仿宋_GB2312" w:hAnsi="仿宋" w:eastAsia="仿宋_GB2312" w:cs="仿宋"/>
          <w:b/>
          <w:bCs/>
          <w:kern w:val="0"/>
          <w:sz w:val="32"/>
          <w:szCs w:val="32"/>
          <w:shd w:val="clear" w:color="auto" w:fill="FFFFFF"/>
        </w:rPr>
        <w:t>条【激励机制】</w:t>
      </w:r>
      <w:r>
        <w:rPr>
          <w:rFonts w:hint="eastAsia" w:ascii="仿宋_GB2312" w:hAnsi="仿宋" w:eastAsia="仿宋_GB2312" w:cs="仿宋"/>
          <w:kern w:val="0"/>
          <w:sz w:val="32"/>
          <w:szCs w:val="32"/>
          <w:shd w:val="clear" w:color="auto" w:fill="FFFFFF"/>
        </w:rPr>
        <w:t>市、区人力资源社会保障部门应当建立健全“粤菜师傅”激励机制，组织名厨评选活动，</w:t>
      </w:r>
      <w:r>
        <w:rPr>
          <w:rFonts w:hint="eastAsia" w:ascii="仿宋_GB2312" w:hAnsi="仿宋" w:eastAsia="仿宋_GB2312" w:cs="仿宋"/>
          <w:kern w:val="0"/>
          <w:sz w:val="32"/>
          <w:szCs w:val="32"/>
          <w:highlight w:val="none"/>
          <w:shd w:val="clear" w:color="auto" w:fill="FFFFFF"/>
          <w:lang w:eastAsia="zh-CN"/>
        </w:rPr>
        <w:t>支持广府菜企业、行业协会组织或参与</w:t>
      </w:r>
      <w:r>
        <w:rPr>
          <w:rFonts w:hint="eastAsia" w:ascii="仿宋_GB2312" w:hAnsi="仿宋" w:eastAsia="仿宋_GB2312" w:cs="仿宋"/>
          <w:kern w:val="0"/>
          <w:sz w:val="32"/>
          <w:szCs w:val="32"/>
          <w:shd w:val="clear" w:color="auto" w:fill="FFFFFF"/>
          <w:lang w:eastAsia="zh-CN"/>
        </w:rPr>
        <w:t>“粤菜师傅”</w:t>
      </w:r>
      <w:r>
        <w:rPr>
          <w:rFonts w:hint="eastAsia" w:ascii="仿宋_GB2312" w:hAnsi="仿宋" w:eastAsia="仿宋_GB2312" w:cs="仿宋"/>
          <w:kern w:val="0"/>
          <w:sz w:val="32"/>
          <w:szCs w:val="32"/>
          <w:shd w:val="clear" w:color="auto" w:fill="FFFFFF"/>
        </w:rPr>
        <w:t>技能比赛、创新创业大赛等各类竞赛，推动促进粤菜文化和产业的融合交流与发展。</w:t>
      </w:r>
    </w:p>
    <w:p>
      <w:pPr>
        <w:spacing w:line="560" w:lineRule="exact"/>
        <w:ind w:firstLine="640"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对于技艺精湛、业绩突出、行业影响力较大且善于传承弘扬广府菜文化的高技能人才，市、区人力资源社会保障部门择优推荐申报“中华技能大奖”、“全国技术能手”、“南粤技术能手”、“佛山大城工匠”等荣誉和奖项。</w:t>
      </w:r>
    </w:p>
    <w:p>
      <w:pPr>
        <w:pStyle w:val="13"/>
        <w:widowControl/>
        <w:shd w:val="clear" w:color="auto" w:fill="FFFFFF"/>
        <w:spacing w:before="0" w:beforeAutospacing="0" w:after="0" w:afterAutospacing="0" w:line="560" w:lineRule="exact"/>
        <w:ind w:firstLine="480"/>
        <w:rPr>
          <w:rFonts w:hint="eastAsia" w:ascii="仿宋_GB2312" w:hAnsi="楷体" w:eastAsia="仿宋_GB2312" w:cs="楷体"/>
          <w:szCs w:val="24"/>
          <w:lang w:bidi="ar"/>
        </w:rPr>
      </w:pPr>
    </w:p>
    <w:p>
      <w:pPr>
        <w:spacing w:line="560" w:lineRule="exact"/>
        <w:ind w:firstLine="642"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b/>
          <w:bCs/>
          <w:kern w:val="0"/>
          <w:sz w:val="32"/>
          <w:szCs w:val="32"/>
          <w:shd w:val="clear" w:color="auto" w:fill="FFFFFF"/>
        </w:rPr>
        <w:t>第十</w:t>
      </w:r>
      <w:r>
        <w:rPr>
          <w:rFonts w:hint="eastAsia" w:ascii="仿宋_GB2312" w:hAnsi="仿宋" w:eastAsia="仿宋_GB2312" w:cs="仿宋"/>
          <w:b/>
          <w:bCs/>
          <w:kern w:val="0"/>
          <w:sz w:val="32"/>
          <w:szCs w:val="32"/>
          <w:shd w:val="clear" w:color="auto" w:fill="FFFFFF"/>
          <w:lang w:eastAsia="zh-CN"/>
        </w:rPr>
        <w:t>三</w:t>
      </w:r>
      <w:r>
        <w:rPr>
          <w:rFonts w:hint="eastAsia" w:ascii="仿宋_GB2312" w:hAnsi="仿宋" w:eastAsia="仿宋_GB2312" w:cs="仿宋"/>
          <w:b/>
          <w:bCs/>
          <w:kern w:val="0"/>
          <w:sz w:val="32"/>
          <w:szCs w:val="32"/>
          <w:shd w:val="clear" w:color="auto" w:fill="FFFFFF"/>
        </w:rPr>
        <w:t>条【非遗保护】</w:t>
      </w:r>
      <w:r>
        <w:rPr>
          <w:rFonts w:hint="eastAsia" w:ascii="仿宋_GB2312" w:hAnsi="仿宋" w:eastAsia="仿宋_GB2312" w:cs="仿宋"/>
          <w:kern w:val="0"/>
          <w:sz w:val="32"/>
          <w:szCs w:val="32"/>
          <w:shd w:val="clear" w:color="auto" w:fill="FFFFFF"/>
        </w:rPr>
        <w:t>文化广电旅游体育部门应当加强广府菜文化发掘整理利用，强化广府菜文化研究及阐释，培育广府菜相关非物质文化遗产项目，并建立广府菜非物质文化遗产档案及有关数据库。</w:t>
      </w:r>
    </w:p>
    <w:p>
      <w:pPr>
        <w:overflowPunct w:val="0"/>
        <w:spacing w:line="560" w:lineRule="exact"/>
        <w:ind w:firstLine="640"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鼓励技艺精湛、符合条件的广府菜制作技艺申报非物质文化遗产代表性项目名录，加大对列入非物质文化遗产代表性项目名录的保护单位和代表性传承人的扶持。</w:t>
      </w:r>
    </w:p>
    <w:p>
      <w:pPr>
        <w:overflowPunct w:val="0"/>
        <w:spacing w:line="560" w:lineRule="exact"/>
        <w:ind w:firstLine="640"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鼓励行业协会、院校、企业和个人</w:t>
      </w:r>
      <w:r>
        <w:rPr>
          <w:rFonts w:hint="eastAsia" w:ascii="仿宋_GB2312" w:hAnsi="仿宋" w:eastAsia="仿宋_GB2312" w:cs="仿宋"/>
          <w:kern w:val="0"/>
          <w:sz w:val="32"/>
          <w:szCs w:val="32"/>
          <w:shd w:val="clear" w:color="auto" w:fill="FFFFFF"/>
          <w:lang w:eastAsia="zh-CN"/>
        </w:rPr>
        <w:t>等</w:t>
      </w:r>
      <w:r>
        <w:rPr>
          <w:rFonts w:hint="eastAsia" w:ascii="仿宋_GB2312" w:hAnsi="仿宋" w:eastAsia="仿宋_GB2312" w:cs="仿宋"/>
          <w:kern w:val="0"/>
          <w:sz w:val="32"/>
          <w:szCs w:val="32"/>
          <w:shd w:val="clear" w:color="auto" w:fill="FFFFFF"/>
        </w:rPr>
        <w:t>对广府菜传统制作技艺、饮食文化、民风民俗、民间传说等广府菜文化遗产进行搜集、整理、记录、研究和出版，</w:t>
      </w:r>
      <w:r>
        <w:rPr>
          <w:rFonts w:hint="eastAsia" w:ascii="仿宋_GB2312" w:hAnsi="仿宋" w:eastAsia="仿宋_GB2312" w:cs="仿宋"/>
          <w:kern w:val="0"/>
          <w:sz w:val="32"/>
          <w:szCs w:val="32"/>
          <w:shd w:val="clear" w:color="auto" w:fill="FFFFFF"/>
          <w:lang w:bidi="ar"/>
        </w:rPr>
        <w:t>丰富拓展广府菜文化内涵与外延。</w:t>
      </w:r>
    </w:p>
    <w:p>
      <w:pPr>
        <w:spacing w:line="560" w:lineRule="exact"/>
        <w:ind w:firstLine="642" w:firstLineChars="200"/>
        <w:rPr>
          <w:rFonts w:hint="eastAsia" w:ascii="仿宋_GB2312" w:hAnsi="仿宋" w:eastAsia="仿宋_GB2312" w:cs="仿宋"/>
          <w:b/>
          <w:bCs/>
          <w:kern w:val="0"/>
          <w:sz w:val="32"/>
          <w:szCs w:val="32"/>
          <w:shd w:val="clear" w:color="auto" w:fill="FFFFFF"/>
        </w:rPr>
      </w:pPr>
    </w:p>
    <w:p>
      <w:pPr>
        <w:overflowPunct w:val="0"/>
        <w:spacing w:line="560" w:lineRule="exact"/>
        <w:ind w:firstLine="642" w:firstLineChars="200"/>
        <w:rPr>
          <w:rFonts w:hint="eastAsia" w:ascii="仿宋_GB2312" w:hAnsi="仿宋" w:eastAsia="仿宋_GB2312" w:cs="仿宋"/>
          <w:b/>
          <w:bCs/>
          <w:kern w:val="0"/>
          <w:sz w:val="32"/>
          <w:szCs w:val="32"/>
          <w:shd w:val="clear" w:color="auto" w:fill="FFFFFF"/>
        </w:rPr>
      </w:pPr>
      <w:r>
        <w:rPr>
          <w:rFonts w:hint="eastAsia" w:ascii="仿宋_GB2312" w:hAnsi="仿宋" w:eastAsia="仿宋_GB2312" w:cs="仿宋"/>
          <w:b/>
          <w:bCs/>
          <w:kern w:val="0"/>
          <w:sz w:val="32"/>
          <w:szCs w:val="32"/>
          <w:shd w:val="clear" w:color="auto" w:fill="FFFFFF"/>
        </w:rPr>
        <w:t>第十</w:t>
      </w:r>
      <w:r>
        <w:rPr>
          <w:rFonts w:hint="eastAsia" w:ascii="仿宋_GB2312" w:hAnsi="仿宋" w:eastAsia="仿宋_GB2312" w:cs="仿宋"/>
          <w:b/>
          <w:bCs/>
          <w:kern w:val="0"/>
          <w:sz w:val="32"/>
          <w:szCs w:val="32"/>
          <w:shd w:val="clear" w:color="auto" w:fill="FFFFFF"/>
          <w:lang w:eastAsia="zh-CN"/>
        </w:rPr>
        <w:t>四</w:t>
      </w:r>
      <w:r>
        <w:rPr>
          <w:rFonts w:hint="eastAsia" w:ascii="仿宋_GB2312" w:hAnsi="仿宋" w:eastAsia="仿宋_GB2312" w:cs="仿宋"/>
          <w:b/>
          <w:bCs/>
          <w:kern w:val="0"/>
          <w:sz w:val="32"/>
          <w:szCs w:val="32"/>
          <w:shd w:val="clear" w:color="auto" w:fill="FFFFFF"/>
        </w:rPr>
        <w:t>条【技艺传承</w:t>
      </w:r>
      <w:r>
        <w:rPr>
          <w:rFonts w:hint="eastAsia" w:ascii="仿宋_GB2312" w:hAnsi="楷体" w:eastAsia="仿宋_GB2312" w:cs="楷体"/>
          <w:kern w:val="0"/>
          <w:sz w:val="32"/>
          <w:szCs w:val="32"/>
          <w:lang w:bidi="ar"/>
        </w:rPr>
        <w:t>】</w:t>
      </w:r>
      <w:r>
        <w:rPr>
          <w:rFonts w:hint="eastAsia" w:ascii="仿宋_GB2312" w:hAnsi="仿宋" w:eastAsia="仿宋_GB2312" w:cs="仿宋"/>
          <w:kern w:val="0"/>
          <w:sz w:val="32"/>
          <w:szCs w:val="32"/>
          <w:shd w:val="clear" w:color="auto" w:fill="FFFFFF"/>
          <w:lang w:bidi="ar"/>
        </w:rPr>
        <w:t>市、区人民政府鼓励和支持开展非物质文化遗产代表性项目的广府菜及列入</w:t>
      </w:r>
      <w:r>
        <w:rPr>
          <w:rFonts w:hint="eastAsia" w:ascii="仿宋_GB2312" w:hAnsi="仿宋" w:eastAsia="仿宋_GB2312" w:cs="仿宋"/>
          <w:kern w:val="0"/>
          <w:sz w:val="32"/>
          <w:szCs w:val="32"/>
          <w:lang w:bidi="ar"/>
        </w:rPr>
        <w:t>粤菜名菜名录</w:t>
      </w:r>
      <w:r>
        <w:rPr>
          <w:rFonts w:hint="eastAsia" w:ascii="仿宋_GB2312" w:hAnsi="仿宋" w:eastAsia="仿宋_GB2312" w:cs="仿宋"/>
          <w:kern w:val="0"/>
          <w:sz w:val="32"/>
          <w:szCs w:val="32"/>
          <w:shd w:val="clear" w:color="auto" w:fill="FFFFFF"/>
          <w:lang w:bidi="ar"/>
        </w:rPr>
        <w:t>的</w:t>
      </w:r>
      <w:r>
        <w:rPr>
          <w:rFonts w:hint="eastAsia" w:ascii="仿宋_GB2312" w:hAnsi="仿宋" w:eastAsia="仿宋_GB2312" w:cs="仿宋"/>
          <w:kern w:val="0"/>
          <w:sz w:val="32"/>
          <w:szCs w:val="32"/>
          <w:lang w:bidi="ar"/>
        </w:rPr>
        <w:t>广府</w:t>
      </w:r>
      <w:r>
        <w:rPr>
          <w:rFonts w:hint="eastAsia" w:ascii="仿宋_GB2312" w:hAnsi="仿宋" w:eastAsia="仿宋_GB2312" w:cs="仿宋"/>
          <w:kern w:val="0"/>
          <w:sz w:val="32"/>
          <w:szCs w:val="32"/>
          <w:shd w:val="clear" w:color="auto" w:fill="FFFFFF"/>
        </w:rPr>
        <w:t>菜制作技艺的</w:t>
      </w:r>
      <w:r>
        <w:rPr>
          <w:rFonts w:hint="eastAsia" w:ascii="仿宋_GB2312" w:hAnsi="仿宋" w:eastAsia="仿宋_GB2312" w:cs="仿宋"/>
          <w:kern w:val="0"/>
          <w:sz w:val="32"/>
          <w:szCs w:val="32"/>
          <w:shd w:val="clear" w:color="auto" w:fill="FFFFFF"/>
          <w:lang w:bidi="ar"/>
        </w:rPr>
        <w:t>传承、传播。</w:t>
      </w:r>
    </w:p>
    <w:p>
      <w:pPr>
        <w:overflowPunct w:val="0"/>
        <w:spacing w:line="560" w:lineRule="exact"/>
        <w:ind w:firstLine="640"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列入非物质文化遗产代表性项目及</w:t>
      </w:r>
      <w:r>
        <w:rPr>
          <w:rFonts w:hint="eastAsia" w:ascii="仿宋_GB2312" w:hAnsi="仿宋" w:eastAsia="仿宋_GB2312" w:cs="仿宋"/>
          <w:kern w:val="0"/>
          <w:sz w:val="32"/>
          <w:szCs w:val="32"/>
          <w:lang w:bidi="ar"/>
        </w:rPr>
        <w:t>粤菜名菜名录的广府</w:t>
      </w:r>
      <w:r>
        <w:rPr>
          <w:rFonts w:hint="eastAsia" w:ascii="仿宋_GB2312" w:hAnsi="仿宋" w:eastAsia="仿宋_GB2312" w:cs="仿宋"/>
          <w:kern w:val="0"/>
          <w:sz w:val="32"/>
          <w:szCs w:val="32"/>
          <w:shd w:val="clear" w:color="auto" w:fill="FFFFFF"/>
        </w:rPr>
        <w:t>菜制作技艺单位应当支持传承人的传承、传播工作，并保障其传承所需的场地、设备及经费。</w:t>
      </w:r>
    </w:p>
    <w:p>
      <w:pPr>
        <w:overflowPunct w:val="0"/>
        <w:spacing w:line="560" w:lineRule="exact"/>
        <w:ind w:firstLine="640"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传承人应当履行下列义务：（一）开展</w:t>
      </w:r>
      <w:r>
        <w:rPr>
          <w:rFonts w:hint="eastAsia" w:ascii="仿宋_GB2312" w:hAnsi="仿宋" w:eastAsia="仿宋_GB2312" w:cs="仿宋"/>
          <w:kern w:val="0"/>
          <w:sz w:val="32"/>
          <w:szCs w:val="32"/>
          <w:shd w:val="clear" w:color="auto" w:fill="FFFFFF"/>
          <w:lang w:bidi="ar"/>
        </w:rPr>
        <w:t>传授、展示技艺、讲学以及文艺创作、学术研究等活动</w:t>
      </w:r>
      <w:r>
        <w:rPr>
          <w:rFonts w:hint="eastAsia" w:ascii="仿宋_GB2312" w:hAnsi="仿宋" w:eastAsia="仿宋_GB2312" w:cs="仿宋"/>
          <w:kern w:val="0"/>
          <w:sz w:val="32"/>
          <w:szCs w:val="32"/>
          <w:shd w:val="clear" w:color="auto" w:fill="FFFFFF"/>
        </w:rPr>
        <w:t>，培养能掌握广府菜技能的后继人才；（二）挖掘、整理广府菜制作技艺，编写相关菜谱，通过数字化等方式进行记录保存。（三）参与广府菜传承发展的公益性宣传。</w:t>
      </w:r>
    </w:p>
    <w:p>
      <w:pPr>
        <w:overflowPunct w:val="0"/>
        <w:spacing w:line="560" w:lineRule="exact"/>
        <w:ind w:firstLine="640" w:firstLineChars="200"/>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文化广电旅游体育部门应当对广府菜制作技艺传承人履行义务的情况进行指导、监督，并定期开展考核评估。</w:t>
      </w:r>
    </w:p>
    <w:p>
      <w:pPr>
        <w:spacing w:line="560" w:lineRule="exact"/>
        <w:ind w:firstLine="642" w:firstLineChars="200"/>
        <w:rPr>
          <w:rFonts w:hint="eastAsia" w:ascii="仿宋_GB2312" w:hAnsi="仿宋" w:eastAsia="仿宋_GB2312" w:cs="仿宋"/>
          <w:b/>
          <w:bCs/>
          <w:kern w:val="0"/>
          <w:sz w:val="32"/>
          <w:szCs w:val="32"/>
          <w:shd w:val="clear" w:color="auto" w:fill="FFFFFF"/>
        </w:rPr>
      </w:pPr>
    </w:p>
    <w:p>
      <w:pPr>
        <w:overflowPunct w:val="0"/>
        <w:spacing w:line="560" w:lineRule="exact"/>
        <w:ind w:firstLine="642" w:firstLineChars="200"/>
        <w:contextualSpacing/>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b/>
          <w:bCs/>
          <w:kern w:val="0"/>
          <w:sz w:val="32"/>
          <w:szCs w:val="32"/>
          <w:shd w:val="clear" w:color="auto" w:fill="FFFFFF"/>
        </w:rPr>
        <w:t>第十</w:t>
      </w:r>
      <w:r>
        <w:rPr>
          <w:rFonts w:hint="eastAsia" w:ascii="仿宋_GB2312" w:hAnsi="仿宋" w:eastAsia="仿宋_GB2312" w:cs="仿宋"/>
          <w:b/>
          <w:bCs/>
          <w:kern w:val="0"/>
          <w:sz w:val="32"/>
          <w:szCs w:val="32"/>
          <w:shd w:val="clear" w:color="auto" w:fill="FFFFFF"/>
          <w:lang w:eastAsia="zh-CN"/>
        </w:rPr>
        <w:t>五</w:t>
      </w:r>
      <w:r>
        <w:rPr>
          <w:rFonts w:hint="eastAsia" w:ascii="仿宋_GB2312" w:hAnsi="仿宋" w:eastAsia="仿宋_GB2312" w:cs="仿宋"/>
          <w:b/>
          <w:bCs/>
          <w:kern w:val="0"/>
          <w:sz w:val="32"/>
          <w:szCs w:val="32"/>
          <w:shd w:val="clear" w:color="auto" w:fill="FFFFFF"/>
        </w:rPr>
        <w:t>条【品牌建设】</w:t>
      </w:r>
      <w:r>
        <w:rPr>
          <w:rFonts w:hint="eastAsia" w:ascii="仿宋_GB2312" w:hAnsi="仿宋" w:eastAsia="仿宋_GB2312" w:cs="仿宋"/>
          <w:kern w:val="0"/>
          <w:sz w:val="32"/>
          <w:szCs w:val="32"/>
          <w:shd w:val="clear" w:color="auto" w:fill="FFFFFF"/>
        </w:rPr>
        <w:t>生产经营企业应当加强广府菜产业品牌建设，</w:t>
      </w:r>
      <w:r>
        <w:rPr>
          <w:rFonts w:hint="eastAsia" w:ascii="仿宋_GB2312" w:hAnsi="仿宋" w:eastAsia="仿宋_GB2312" w:cs="仿宋"/>
          <w:kern w:val="0"/>
          <w:sz w:val="32"/>
          <w:szCs w:val="32"/>
          <w:shd w:val="clear" w:color="auto" w:fill="FFFFFF"/>
          <w:lang w:bidi="ar"/>
        </w:rPr>
        <w:t>打造品牌标识，塑造品牌形象，扩大品牌影响力。</w:t>
      </w:r>
    </w:p>
    <w:p>
      <w:pPr>
        <w:overflowPunct w:val="0"/>
        <w:spacing w:line="560" w:lineRule="exact"/>
        <w:ind w:firstLine="640" w:firstLineChars="200"/>
        <w:contextualSpacing/>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shd w:val="clear" w:color="auto" w:fill="FFFFFF"/>
          <w:lang w:bidi="ar"/>
        </w:rPr>
        <w:t>商务部门</w:t>
      </w:r>
      <w:r>
        <w:rPr>
          <w:rFonts w:hint="eastAsia" w:ascii="仿宋_GB2312" w:hAnsi="仿宋" w:eastAsia="仿宋_GB2312" w:cs="仿宋"/>
          <w:kern w:val="0"/>
          <w:sz w:val="32"/>
          <w:szCs w:val="32"/>
          <w:shd w:val="clear" w:color="auto" w:fill="FFFFFF"/>
        </w:rPr>
        <w:t>组织开展佛山粤菜名店、名菜、名点、美食聚集区的评选工作，鼓励餐饮企业争创中华老字号、中国餐饮百强、绿色饭店等服务品牌</w:t>
      </w:r>
      <w:r>
        <w:rPr>
          <w:rFonts w:hint="eastAsia" w:ascii="仿宋_GB2312" w:hAnsi="仿宋" w:eastAsia="仿宋_GB2312" w:cs="仿宋"/>
          <w:kern w:val="0"/>
          <w:sz w:val="32"/>
          <w:szCs w:val="32"/>
          <w:lang w:bidi="ar"/>
        </w:rPr>
        <w:t>。对被认定为</w:t>
      </w:r>
      <w:r>
        <w:rPr>
          <w:rFonts w:hint="eastAsia" w:ascii="仿宋_GB2312" w:hAnsi="仿宋" w:eastAsia="仿宋_GB2312" w:cs="仿宋"/>
          <w:kern w:val="0"/>
          <w:sz w:val="32"/>
          <w:szCs w:val="32"/>
          <w:shd w:val="clear" w:color="auto" w:fill="FFFFFF"/>
        </w:rPr>
        <w:t>中华老字号、中国餐饮百强、绿色饭店的粤菜餐饮企业给予奖励。</w:t>
      </w:r>
    </w:p>
    <w:p>
      <w:pPr>
        <w:overflowPunct w:val="0"/>
        <w:spacing w:line="560" w:lineRule="exact"/>
        <w:ind w:firstLine="640" w:firstLineChars="200"/>
        <w:contextualSpacing/>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市场监督管理部门应当引导和支持广府菜餐饮企业打造自主品牌，支持符合条件的组织注册广府菜集体商标，支持广府菜餐饮及食品生产企业申请知识产权，指导广府菜企业建立健全知识产权保护制度。</w:t>
      </w:r>
    </w:p>
    <w:p>
      <w:pPr>
        <w:overflowPunct w:val="0"/>
        <w:spacing w:line="560" w:lineRule="exact"/>
        <w:ind w:firstLine="640" w:firstLineChars="200"/>
        <w:contextualSpacing/>
        <w:rPr>
          <w:rFonts w:hint="eastAsia"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行业协会应当依法规范开展广府菜餐饮企业评级工作，加强对广府菜餐饮企业的宣传推介，提升广府菜餐饮企业品牌知名度。</w:t>
      </w:r>
    </w:p>
    <w:p>
      <w:pPr>
        <w:spacing w:line="560" w:lineRule="exact"/>
        <w:ind w:firstLine="642" w:firstLineChars="200"/>
        <w:rPr>
          <w:rFonts w:hint="eastAsia" w:ascii="仿宋_GB2312" w:hAnsi="仿宋" w:eastAsia="仿宋_GB2312" w:cs="仿宋"/>
          <w:b/>
          <w:bCs/>
          <w:kern w:val="0"/>
          <w:sz w:val="32"/>
          <w:szCs w:val="32"/>
          <w:shd w:val="clear" w:color="auto" w:fill="FFFFFF"/>
        </w:rPr>
      </w:pPr>
    </w:p>
    <w:p>
      <w:pPr>
        <w:pStyle w:val="13"/>
        <w:widowControl/>
        <w:shd w:val="clear" w:color="auto" w:fill="FFFFFF"/>
        <w:spacing w:before="0" w:beforeAutospacing="0" w:after="0" w:afterAutospacing="0" w:line="560" w:lineRule="exact"/>
        <w:ind w:firstLine="642" w:firstLineChars="200"/>
        <w:jc w:val="both"/>
        <w:rPr>
          <w:rFonts w:hint="eastAsia" w:ascii="仿宋_GB2312" w:hAnsi="仿宋" w:eastAsia="仿宋_GB2312" w:cs="仿宋"/>
          <w:sz w:val="32"/>
          <w:szCs w:val="32"/>
          <w:shd w:val="clear" w:color="auto" w:fill="FFFFFF"/>
        </w:rPr>
      </w:pPr>
      <w:r>
        <w:rPr>
          <w:rFonts w:hint="eastAsia" w:ascii="仿宋_GB2312" w:hAnsi="仿宋" w:eastAsia="仿宋_GB2312" w:cs="仿宋"/>
          <w:b/>
          <w:bCs/>
          <w:sz w:val="32"/>
          <w:szCs w:val="32"/>
          <w:shd w:val="clear" w:color="auto" w:fill="FFFFFF"/>
        </w:rPr>
        <w:t>第十</w:t>
      </w:r>
      <w:r>
        <w:rPr>
          <w:rFonts w:hint="eastAsia" w:ascii="仿宋_GB2312" w:hAnsi="仿宋" w:eastAsia="仿宋_GB2312" w:cs="仿宋"/>
          <w:b/>
          <w:bCs/>
          <w:sz w:val="32"/>
          <w:szCs w:val="32"/>
          <w:shd w:val="clear" w:color="auto" w:fill="FFFFFF"/>
          <w:lang w:eastAsia="zh-CN"/>
        </w:rPr>
        <w:t>六</w:t>
      </w:r>
      <w:r>
        <w:rPr>
          <w:rFonts w:hint="eastAsia" w:ascii="仿宋_GB2312" w:hAnsi="仿宋" w:eastAsia="仿宋_GB2312" w:cs="仿宋"/>
          <w:b/>
          <w:bCs/>
          <w:sz w:val="32"/>
          <w:szCs w:val="32"/>
          <w:shd w:val="clear" w:color="auto" w:fill="FFFFFF"/>
        </w:rPr>
        <w:t>条【地标产品】</w:t>
      </w:r>
      <w:r>
        <w:rPr>
          <w:rFonts w:hint="eastAsia" w:ascii="仿宋_GB2312" w:hAnsi="仿宋" w:eastAsia="仿宋_GB2312" w:cs="仿宋"/>
          <w:sz w:val="32"/>
          <w:szCs w:val="32"/>
          <w:shd w:val="clear" w:color="auto" w:fill="FFFFFF"/>
        </w:rPr>
        <w:t>农业农村部门、市场监督管理部门应当支持有条件的广府菜菜品及其原辅材料以地区特定地理名称申报国家地理标志。</w:t>
      </w:r>
    </w:p>
    <w:p>
      <w:pPr>
        <w:pStyle w:val="13"/>
        <w:widowControl/>
        <w:shd w:val="clear" w:color="auto" w:fill="FFFFFF"/>
        <w:spacing w:before="0" w:beforeAutospacing="0" w:after="0" w:afterAutospacing="0" w:line="56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行业协会应当把地理标志产品作为广府菜特色品牌建设的重要载体，挖掘、培育地理标志产品。</w:t>
      </w:r>
    </w:p>
    <w:p>
      <w:pPr>
        <w:pStyle w:val="13"/>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shd w:val="clear" w:color="auto" w:fill="FFFFFF"/>
        </w:rPr>
      </w:pPr>
    </w:p>
    <w:p>
      <w:pPr>
        <w:pStyle w:val="13"/>
        <w:widowControl/>
        <w:shd w:val="clear" w:color="auto" w:fill="FFFFFF"/>
        <w:spacing w:before="0" w:beforeAutospacing="0" w:after="0" w:afterAutospacing="0" w:line="560" w:lineRule="exact"/>
        <w:ind w:firstLine="642" w:firstLineChars="200"/>
        <w:rPr>
          <w:rFonts w:ascii="仿宋_GB2312" w:hAnsi="仿宋_GB2312" w:eastAsia="仿宋_GB2312" w:cs="仿宋_GB2312"/>
          <w:sz w:val="32"/>
          <w:szCs w:val="32"/>
          <w:shd w:val="clear" w:color="auto" w:fill="FFFFFF"/>
        </w:rPr>
      </w:pPr>
      <w:r>
        <w:rPr>
          <w:rFonts w:hint="eastAsia" w:ascii="仿宋_GB2312" w:hAnsi="仿宋" w:eastAsia="仿宋_GB2312" w:cs="仿宋"/>
          <w:b/>
          <w:bCs/>
          <w:sz w:val="32"/>
          <w:szCs w:val="32"/>
          <w:shd w:val="clear" w:color="auto" w:fill="auto"/>
        </w:rPr>
        <w:t>第十</w:t>
      </w:r>
      <w:r>
        <w:rPr>
          <w:rFonts w:hint="eastAsia" w:ascii="仿宋_GB2312" w:hAnsi="仿宋" w:eastAsia="仿宋_GB2312" w:cs="仿宋"/>
          <w:b/>
          <w:bCs/>
          <w:sz w:val="32"/>
          <w:szCs w:val="32"/>
          <w:shd w:val="clear" w:color="auto" w:fill="auto"/>
          <w:lang w:eastAsia="zh-CN"/>
        </w:rPr>
        <w:t>七</w:t>
      </w:r>
      <w:r>
        <w:rPr>
          <w:rFonts w:hint="eastAsia" w:ascii="仿宋_GB2312" w:hAnsi="仿宋" w:eastAsia="仿宋_GB2312" w:cs="仿宋"/>
          <w:b/>
          <w:bCs/>
          <w:sz w:val="32"/>
          <w:szCs w:val="32"/>
          <w:shd w:val="clear" w:color="auto" w:fill="auto"/>
        </w:rPr>
        <w:t>条【食品安全】</w:t>
      </w:r>
      <w:r>
        <w:rPr>
          <w:rFonts w:hint="eastAsia" w:ascii="仿宋_GB2312" w:hAnsi="仿宋_GB2312" w:eastAsia="仿宋_GB2312" w:cs="仿宋_GB2312"/>
          <w:sz w:val="32"/>
          <w:szCs w:val="32"/>
          <w:shd w:val="clear" w:color="auto" w:fill="FFFFFF"/>
        </w:rPr>
        <w:t>广府菜生产经营者应当依照法律、法规和食品安全标准从事生产经营活动，保证食品安全，诚信自律，对社会和公众负责，接受社会监督，承担社会责任。</w:t>
      </w:r>
    </w:p>
    <w:p>
      <w:pPr>
        <w:pStyle w:val="13"/>
        <w:widowControl/>
        <w:shd w:val="clear" w:color="auto" w:fill="FFFFFF"/>
        <w:spacing w:before="0" w:beforeAutospacing="0" w:after="0" w:afterAutospacing="0" w:line="560" w:lineRule="exact"/>
        <w:ind w:firstLine="640" w:firstLineChars="200"/>
        <w:rPr>
          <w:rFonts w:hint="eastAsia" w:ascii="仿宋_GB2312" w:hAnsi="仿宋" w:eastAsia="仿宋_GB2312" w:cs="仿宋"/>
          <w:sz w:val="32"/>
          <w:szCs w:val="32"/>
          <w:shd w:val="clear" w:color="auto" w:fill="FFFFFF"/>
        </w:rPr>
      </w:pPr>
    </w:p>
    <w:p>
      <w:pPr>
        <w:pStyle w:val="13"/>
        <w:widowControl/>
        <w:shd w:val="clear" w:color="auto" w:fill="FFFFFF"/>
        <w:spacing w:before="0" w:beforeAutospacing="0" w:after="0" w:afterAutospacing="0" w:line="560" w:lineRule="exact"/>
        <w:ind w:firstLine="642"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第十</w:t>
      </w:r>
      <w:r>
        <w:rPr>
          <w:rFonts w:hint="eastAsia" w:ascii="仿宋_GB2312" w:hAnsi="仿宋" w:eastAsia="仿宋_GB2312" w:cs="仿宋"/>
          <w:b/>
          <w:bCs/>
          <w:sz w:val="32"/>
          <w:szCs w:val="32"/>
          <w:lang w:eastAsia="zh-CN"/>
        </w:rPr>
        <w:t>八</w:t>
      </w:r>
      <w:r>
        <w:rPr>
          <w:rFonts w:hint="eastAsia" w:ascii="仿宋_GB2312" w:hAnsi="仿宋" w:eastAsia="仿宋_GB2312" w:cs="仿宋"/>
          <w:b/>
          <w:bCs/>
          <w:sz w:val="32"/>
          <w:szCs w:val="32"/>
        </w:rPr>
        <w:t>条【产业发展】</w:t>
      </w:r>
      <w:r>
        <w:rPr>
          <w:rFonts w:hint="eastAsia" w:ascii="仿宋_GB2312" w:hAnsi="仿宋_GB2312" w:eastAsia="仿宋_GB2312" w:cs="仿宋_GB2312"/>
          <w:sz w:val="32"/>
          <w:szCs w:val="32"/>
          <w:shd w:val="clear" w:color="auto" w:fill="FFFFFF"/>
        </w:rPr>
        <w:t>鼓励有条件的区打造具有地方特色的广府菜特色集聚区，推动建设“世界美食之都”。</w:t>
      </w:r>
    </w:p>
    <w:p>
      <w:pPr>
        <w:pStyle w:val="13"/>
        <w:widowControl/>
        <w:shd w:val="clear" w:color="auto" w:fill="FFFFFF"/>
        <w:spacing w:before="0" w:beforeAutospacing="0" w:after="0" w:afterAutospacing="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商务部门应当会同农业农村部门、人力资源社会保障部门、文化广电旅游体育部门、市场监督管理部门建立健全广府菜产业协同发展机制，推动广府菜产业与农业生产、食品加工、餐饮零售、旅游休闲、健康养生等产业联动发展。</w:t>
      </w:r>
    </w:p>
    <w:p>
      <w:pPr>
        <w:pStyle w:val="13"/>
        <w:widowControl/>
        <w:shd w:val="clear" w:color="auto" w:fill="FFFFFF"/>
        <w:spacing w:before="0" w:beforeAutospacing="0" w:after="0" w:afterAutospacing="0" w:line="560" w:lineRule="exact"/>
        <w:ind w:firstLine="641"/>
        <w:jc w:val="both"/>
        <w:rPr>
          <w:rFonts w:hint="eastAsia" w:ascii="仿宋_GB2312" w:hAnsi="仿宋" w:eastAsia="仿宋_GB2312" w:cs="仿宋"/>
          <w:sz w:val="32"/>
          <w:szCs w:val="32"/>
        </w:rPr>
      </w:pPr>
      <w:r>
        <w:rPr>
          <w:rFonts w:hint="eastAsia" w:ascii="仿宋_GB2312" w:hAnsi="仿宋" w:eastAsia="仿宋_GB2312" w:cs="仿宋"/>
          <w:sz w:val="32"/>
          <w:szCs w:val="32"/>
        </w:rPr>
        <w:t>鼓励支持企业和个人创办优质广府菜食材供应基地。以粤菜名店、名菜、名点为龙头，推动绿色食材供应基地建设，为广府菜企业提供无公害、符合食品安全标准的原辅材料。</w:t>
      </w:r>
    </w:p>
    <w:p>
      <w:pPr>
        <w:pStyle w:val="13"/>
        <w:widowControl/>
        <w:shd w:val="clear" w:color="auto" w:fill="FFFFFF"/>
        <w:spacing w:before="0" w:beforeAutospacing="0" w:after="0" w:afterAutospacing="0" w:line="560" w:lineRule="exact"/>
        <w:ind w:firstLine="641"/>
        <w:rPr>
          <w:rFonts w:hint="eastAsia" w:ascii="仿宋_GB2312" w:hAnsi="楷体_GB2312" w:eastAsia="仿宋_GB2312" w:cs="楷体_GB2312"/>
          <w:szCs w:val="24"/>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b/>
          <w:bCs/>
          <w:sz w:val="32"/>
          <w:szCs w:val="32"/>
        </w:rPr>
        <w:t>第十</w:t>
      </w:r>
      <w:r>
        <w:rPr>
          <w:rFonts w:hint="eastAsia" w:ascii="仿宋_GB2312" w:hAnsi="仿宋" w:eastAsia="仿宋_GB2312" w:cs="仿宋"/>
          <w:b/>
          <w:bCs/>
          <w:sz w:val="32"/>
          <w:szCs w:val="32"/>
          <w:lang w:eastAsia="zh-CN"/>
        </w:rPr>
        <w:t>九</w:t>
      </w:r>
      <w:r>
        <w:rPr>
          <w:rFonts w:hint="eastAsia" w:ascii="仿宋_GB2312" w:hAnsi="仿宋" w:eastAsia="仿宋_GB2312" w:cs="仿宋"/>
          <w:b/>
          <w:bCs/>
          <w:sz w:val="32"/>
          <w:szCs w:val="32"/>
        </w:rPr>
        <w:t>条【培育扶持】</w:t>
      </w:r>
      <w:r>
        <w:rPr>
          <w:rFonts w:hint="eastAsia" w:ascii="仿宋_GB2312" w:hAnsi="仿宋" w:eastAsia="仿宋_GB2312" w:cs="仿宋"/>
          <w:sz w:val="32"/>
          <w:szCs w:val="32"/>
        </w:rPr>
        <w:t>市、区人民政府及其有关部门应当积极扶持老字号广府菜企业，保护老字号广府菜企业品牌和传统技艺，对具有独特历史意义的濒危品牌和技艺实施抢救措施，推动老字号广府菜企业运用先进技术提高产品质量和工艺水平，健全现代企业管理制度，创新经营理念和营销模式。</w:t>
      </w: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市、区人民政府及其有关部门应当加强培育发展广府菜领军企业，鼓励有条件的广府菜企业通过兼并、收购、参股、控股、加盟或特许经营等多种方式，实现品牌化、连锁化、集团化发展。</w:t>
      </w:r>
    </w:p>
    <w:p>
      <w:pPr>
        <w:pStyle w:val="13"/>
        <w:widowControl/>
        <w:shd w:val="clear" w:color="auto" w:fill="FFFFFF"/>
        <w:spacing w:before="0" w:beforeAutospacing="0" w:after="0" w:afterAutospacing="0" w:line="560" w:lineRule="exact"/>
        <w:ind w:firstLine="641"/>
        <w:rPr>
          <w:rFonts w:hint="eastAsia" w:ascii="仿宋_GB2312" w:hAnsi="楷体_GB2312" w:eastAsia="仿宋_GB2312" w:cs="楷体_GB2312"/>
          <w:szCs w:val="24"/>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b/>
          <w:bCs/>
          <w:sz w:val="32"/>
          <w:szCs w:val="32"/>
        </w:rPr>
        <w:t>第二十条【研发创新】</w:t>
      </w:r>
      <w:r>
        <w:rPr>
          <w:rFonts w:hint="eastAsia" w:ascii="仿宋_GB2312" w:hAnsi="仿宋" w:eastAsia="仿宋_GB2312" w:cs="仿宋"/>
          <w:sz w:val="32"/>
          <w:szCs w:val="32"/>
        </w:rPr>
        <w:t>鼓励和支持广府菜企业推动新技术、新工艺在广府菜菜品创新研发中的技术转化与应用</w:t>
      </w:r>
      <w:r>
        <w:rPr>
          <w:rFonts w:hint="eastAsia" w:ascii="仿宋_GB2312" w:hAnsi="仿宋" w:eastAsia="仿宋_GB2312" w:cs="仿宋"/>
          <w:sz w:val="32"/>
          <w:szCs w:val="32"/>
          <w:lang w:eastAsia="zh-CN"/>
        </w:rPr>
        <w:t>，推动</w:t>
      </w:r>
      <w:r>
        <w:rPr>
          <w:rFonts w:hint="eastAsia" w:ascii="仿宋_GB2312" w:hAnsi="仿宋" w:eastAsia="仿宋_GB2312" w:cs="仿宋"/>
          <w:sz w:val="32"/>
          <w:szCs w:val="32"/>
        </w:rPr>
        <w:t>广府菜与国内外各菜系的融合创新</w:t>
      </w:r>
      <w:r>
        <w:rPr>
          <w:rFonts w:hint="eastAsia" w:ascii="仿宋_GB2312" w:hAnsi="仿宋" w:eastAsia="仿宋_GB2312" w:cs="仿宋"/>
          <w:sz w:val="32"/>
          <w:szCs w:val="32"/>
          <w:lang w:eastAsia="zh-CN"/>
        </w:rPr>
        <w:t>发展</w:t>
      </w:r>
      <w:r>
        <w:rPr>
          <w:rFonts w:hint="eastAsia" w:ascii="仿宋_GB2312" w:hAnsi="仿宋" w:eastAsia="仿宋_GB2312" w:cs="仿宋"/>
          <w:sz w:val="32"/>
          <w:szCs w:val="32"/>
        </w:rPr>
        <w:t>。</w:t>
      </w: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鼓励和支持广府菜企业运用大数据、人工智能、物联网、区块链等技术，推动服务创新、管理创新和模式创新，发展新兴餐饮业态。</w:t>
      </w: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鼓励和支持广府菜企业开展电子商务应用，积极开发网上营销、在线订餐、电子支付、美食鉴赏、顾客点评等服务功能，大力发展外卖和外送服务模式，实现餐饮服务的线上线下融合创新发展。</w:t>
      </w:r>
    </w:p>
    <w:p>
      <w:pPr>
        <w:pStyle w:val="13"/>
        <w:widowControl/>
        <w:shd w:val="clear" w:color="auto" w:fill="FFFFFF"/>
        <w:spacing w:before="0" w:beforeAutospacing="0" w:after="0" w:afterAutospacing="0" w:line="560" w:lineRule="exact"/>
        <w:ind w:firstLine="641"/>
        <w:rPr>
          <w:rFonts w:hint="eastAsia" w:ascii="仿宋_GB2312" w:hAnsi="黑体" w:eastAsia="仿宋_GB2312" w:cs="黑体"/>
          <w:sz w:val="32"/>
          <w:szCs w:val="32"/>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b/>
          <w:bCs/>
          <w:sz w:val="32"/>
          <w:szCs w:val="32"/>
        </w:rPr>
        <w:t>第二十</w:t>
      </w:r>
      <w:r>
        <w:rPr>
          <w:rFonts w:hint="eastAsia" w:ascii="仿宋_GB2312" w:hAnsi="仿宋" w:eastAsia="仿宋_GB2312" w:cs="仿宋"/>
          <w:b/>
          <w:bCs/>
          <w:sz w:val="32"/>
          <w:szCs w:val="32"/>
          <w:lang w:eastAsia="zh-CN"/>
        </w:rPr>
        <w:t>一</w:t>
      </w:r>
      <w:r>
        <w:rPr>
          <w:rFonts w:hint="eastAsia" w:ascii="仿宋_GB2312" w:hAnsi="仿宋" w:eastAsia="仿宋_GB2312" w:cs="仿宋"/>
          <w:b/>
          <w:bCs/>
          <w:sz w:val="32"/>
          <w:szCs w:val="32"/>
        </w:rPr>
        <w:t>条【预制菜发展】</w:t>
      </w:r>
      <w:r>
        <w:rPr>
          <w:rFonts w:hint="eastAsia" w:ascii="仿宋_GB2312" w:hAnsi="仿宋" w:eastAsia="仿宋_GB2312" w:cs="仿宋"/>
          <w:sz w:val="32"/>
          <w:szCs w:val="32"/>
        </w:rPr>
        <w:t>鼓励和支持广府菜企业、仓储冷链企业和科研机构联合研发佛山特色预制菜菜品，培育广府菜预制菜知名品牌。</w:t>
      </w:r>
    </w:p>
    <w:p>
      <w:pPr>
        <w:pStyle w:val="13"/>
        <w:widowControl/>
        <w:shd w:val="clear" w:color="auto" w:fill="FFFFFF"/>
        <w:spacing w:before="0" w:beforeAutospacing="0" w:after="0" w:afterAutospacing="0" w:line="560" w:lineRule="exact"/>
        <w:ind w:firstLine="641"/>
        <w:rPr>
          <w:rFonts w:hint="eastAsia" w:ascii="仿宋_GB2312" w:hAnsi="仿宋" w:cs="仿宋"/>
          <w:sz w:val="32"/>
          <w:szCs w:val="32"/>
        </w:rPr>
      </w:pPr>
      <w:r>
        <w:rPr>
          <w:rFonts w:hint="eastAsia" w:ascii="仿宋_GB2312" w:hAnsi="仿宋" w:eastAsia="仿宋_GB2312" w:cs="仿宋"/>
          <w:sz w:val="32"/>
          <w:szCs w:val="32"/>
        </w:rPr>
        <w:t>鼓励和支持研发预制菜生产、加工、仓储、冷链、物流等装备，研发预制菜原料半成品加工与贮存技术，加快推动预制菜全产业链研发成果及技术转化，扩大产业化规模</w:t>
      </w:r>
      <w:r>
        <w:rPr>
          <w:rFonts w:hint="eastAsia"/>
        </w:rPr>
        <w:t>。</w:t>
      </w:r>
    </w:p>
    <w:p>
      <w:pPr>
        <w:pStyle w:val="13"/>
        <w:widowControl/>
        <w:shd w:val="clear" w:color="auto" w:fill="FFFFFF"/>
        <w:spacing w:before="0" w:beforeAutospacing="0" w:after="0" w:afterAutospacing="0" w:line="560" w:lineRule="exact"/>
        <w:ind w:firstLine="641"/>
        <w:rPr>
          <w:rFonts w:ascii="仿宋_GB2312" w:hAnsi="仿宋" w:eastAsia="仿宋_GB2312" w:cs="仿宋"/>
          <w:sz w:val="32"/>
          <w:szCs w:val="32"/>
        </w:rPr>
      </w:pPr>
      <w:r>
        <w:rPr>
          <w:rFonts w:hint="eastAsia" w:ascii="仿宋_GB2312" w:hAnsi="仿宋" w:eastAsia="仿宋_GB2312" w:cs="仿宋"/>
          <w:sz w:val="32"/>
          <w:szCs w:val="32"/>
        </w:rPr>
        <w:t>鼓励和支持有实力的广府菜企业进入预制菜行业发展，或通过招商引资方式引进主打广府菜的预制菜企业，逐步建立、完善相关产业链。</w:t>
      </w: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支持条件成熟的区规划建设预制菜产业园，加大对省级预制菜产业园的扶持力度。</w:t>
      </w:r>
    </w:p>
    <w:p>
      <w:pPr>
        <w:pStyle w:val="13"/>
        <w:widowControl/>
        <w:shd w:val="clear" w:color="auto" w:fill="FFFFFF"/>
        <w:spacing w:before="0" w:beforeAutospacing="0" w:after="0" w:afterAutospacing="0" w:line="560" w:lineRule="exact"/>
        <w:ind w:firstLine="641"/>
        <w:rPr>
          <w:rFonts w:hint="eastAsia" w:ascii="仿宋_GB2312" w:hAnsi="黑体" w:eastAsia="仿宋_GB2312" w:cs="黑体"/>
          <w:sz w:val="32"/>
          <w:szCs w:val="32"/>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b/>
          <w:bCs/>
          <w:sz w:val="32"/>
          <w:szCs w:val="32"/>
        </w:rPr>
        <w:t>第二十</w:t>
      </w:r>
      <w:r>
        <w:rPr>
          <w:rFonts w:hint="eastAsia" w:ascii="仿宋_GB2312" w:hAnsi="仿宋" w:eastAsia="仿宋_GB2312" w:cs="仿宋"/>
          <w:b/>
          <w:bCs/>
          <w:sz w:val="32"/>
          <w:szCs w:val="32"/>
          <w:lang w:eastAsia="zh-CN"/>
        </w:rPr>
        <w:t>二</w:t>
      </w:r>
      <w:r>
        <w:rPr>
          <w:rFonts w:hint="eastAsia" w:ascii="仿宋_GB2312" w:hAnsi="仿宋" w:eastAsia="仿宋_GB2312" w:cs="仿宋"/>
          <w:b/>
          <w:bCs/>
          <w:sz w:val="32"/>
          <w:szCs w:val="32"/>
        </w:rPr>
        <w:t>条【就业创业】</w:t>
      </w:r>
      <w:r>
        <w:rPr>
          <w:rFonts w:hint="eastAsia" w:ascii="仿宋_GB2312" w:hAnsi="仿宋" w:eastAsia="仿宋_GB2312" w:cs="仿宋"/>
          <w:sz w:val="32"/>
          <w:szCs w:val="32"/>
        </w:rPr>
        <w:t>市人力资源社会保障部门应当加强“粤菜师傅”就业创业扶持，为广府菜产业人才提供创业孵化增值服务，</w:t>
      </w:r>
      <w:r>
        <w:rPr>
          <w:rFonts w:hint="eastAsia" w:ascii="仿宋_GB2312" w:hAnsi="仿宋" w:eastAsia="仿宋_GB2312" w:cs="仿宋"/>
          <w:sz w:val="32"/>
          <w:szCs w:val="32"/>
          <w:lang w:eastAsia="zh-CN"/>
        </w:rPr>
        <w:t>引导企业</w:t>
      </w:r>
      <w:r>
        <w:rPr>
          <w:rFonts w:hint="eastAsia" w:ascii="仿宋_GB2312" w:hAnsi="仿宋" w:eastAsia="仿宋_GB2312" w:cs="仿宋"/>
          <w:sz w:val="32"/>
          <w:szCs w:val="32"/>
        </w:rPr>
        <w:t>开发广府菜美食、手信制作、包装、推介等就业岗位。鼓励“粤菜师傅”创业开办农家乐、餐馆等，对其创办的经营主体，按规定落实一次性创业资助、创业带动就业补贴、创业担保贷款及贴息等系列优惠政策。</w:t>
      </w:r>
    </w:p>
    <w:p>
      <w:pPr>
        <w:pStyle w:val="13"/>
        <w:widowControl/>
        <w:shd w:val="clear" w:color="auto" w:fill="FFFFFF"/>
        <w:spacing w:before="0" w:beforeAutospacing="0" w:after="0" w:afterAutospacing="0" w:line="560" w:lineRule="exact"/>
        <w:ind w:firstLine="641"/>
        <w:rPr>
          <w:rFonts w:hint="eastAsia" w:ascii="仿宋_GB2312" w:hAnsi="黑体" w:eastAsia="仿宋_GB2312" w:cs="黑体"/>
          <w:sz w:val="32"/>
          <w:szCs w:val="32"/>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b/>
          <w:bCs/>
          <w:sz w:val="32"/>
          <w:szCs w:val="32"/>
        </w:rPr>
        <w:t>第二十</w:t>
      </w:r>
      <w:r>
        <w:rPr>
          <w:rFonts w:hint="eastAsia" w:ascii="仿宋_GB2312" w:hAnsi="仿宋" w:eastAsia="仿宋_GB2312" w:cs="仿宋"/>
          <w:b/>
          <w:bCs/>
          <w:sz w:val="32"/>
          <w:szCs w:val="32"/>
          <w:lang w:eastAsia="zh-CN"/>
        </w:rPr>
        <w:t>三</w:t>
      </w:r>
      <w:r>
        <w:rPr>
          <w:rFonts w:hint="eastAsia" w:ascii="仿宋_GB2312" w:hAnsi="仿宋" w:eastAsia="仿宋_GB2312" w:cs="仿宋"/>
          <w:b/>
          <w:bCs/>
          <w:sz w:val="32"/>
          <w:szCs w:val="32"/>
        </w:rPr>
        <w:t>条【乡村振兴】</w:t>
      </w:r>
      <w:r>
        <w:rPr>
          <w:rFonts w:hint="eastAsia" w:ascii="仿宋_GB2312" w:hAnsi="仿宋" w:eastAsia="仿宋_GB2312" w:cs="仿宋"/>
          <w:sz w:val="32"/>
          <w:szCs w:val="32"/>
        </w:rPr>
        <w:t>市、区人民政府及其相关部门应当组织开发广府菜文化旅游项目，依托乡村旅游资源，挖掘乡村广府菜美食，结合民俗文化、农业观光、民宿休闲，打造乡村广府菜美食旅游景点和乡村广府菜美食旅游精品路线，推动餐饮业与养殖业、种植业、旅游业协同发展，培育形成乡村广府菜产业生态。</w:t>
      </w: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鼓励广府菜企业利用贫困地区资源禀赋，开发乡村振兴项目，对接市场用工需求开展贫困人员定向就业帮扶，面向对口帮扶地区加强“粤菜师傅”技能协作。</w:t>
      </w:r>
    </w:p>
    <w:p>
      <w:pPr>
        <w:pStyle w:val="13"/>
        <w:widowControl/>
        <w:shd w:val="clear" w:color="auto" w:fill="FFFFFF"/>
        <w:spacing w:before="0" w:beforeAutospacing="0" w:after="0" w:afterAutospacing="0" w:line="560" w:lineRule="exact"/>
        <w:ind w:firstLine="641"/>
        <w:rPr>
          <w:rFonts w:hint="eastAsia" w:ascii="仿宋_GB2312" w:hAnsi="黑体" w:eastAsia="仿宋_GB2312" w:cs="黑体"/>
          <w:sz w:val="32"/>
          <w:szCs w:val="32"/>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b/>
          <w:bCs/>
          <w:sz w:val="32"/>
          <w:szCs w:val="32"/>
        </w:rPr>
        <w:t>第二十</w:t>
      </w:r>
      <w:r>
        <w:rPr>
          <w:rFonts w:hint="eastAsia" w:ascii="仿宋_GB2312" w:hAnsi="仿宋" w:eastAsia="仿宋_GB2312" w:cs="仿宋"/>
          <w:b/>
          <w:bCs/>
          <w:sz w:val="32"/>
          <w:szCs w:val="32"/>
          <w:lang w:eastAsia="zh-CN"/>
        </w:rPr>
        <w:t>四</w:t>
      </w:r>
      <w:r>
        <w:rPr>
          <w:rFonts w:hint="eastAsia" w:ascii="仿宋_GB2312" w:hAnsi="仿宋" w:eastAsia="仿宋_GB2312" w:cs="仿宋"/>
          <w:b/>
          <w:bCs/>
          <w:sz w:val="32"/>
          <w:szCs w:val="32"/>
        </w:rPr>
        <w:t>条【文化传播】</w:t>
      </w:r>
      <w:r>
        <w:rPr>
          <w:rFonts w:hint="eastAsia" w:ascii="仿宋_GB2312" w:hAnsi="仿宋" w:eastAsia="仿宋_GB2312" w:cs="仿宋"/>
          <w:sz w:val="32"/>
          <w:szCs w:val="32"/>
        </w:rPr>
        <w:t>市、区人民政府及其相关部门应当加强广府菜宣传工作，支持创作广府菜文化影视作品、综艺节目和专题宣传片，利用网络直播、短视频等大众传播形式，宣传广府菜和广府菜文化。</w:t>
      </w: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鼓励各区建设广府菜文化博物馆。鼓励博物馆开设广府菜专题展览。鼓励企业结合广府菜美食街、酒店和景区建设，配套建设广府菜饮食文化展示场所。</w:t>
      </w:r>
    </w:p>
    <w:p>
      <w:pPr>
        <w:pStyle w:val="13"/>
        <w:widowControl/>
        <w:shd w:val="clear" w:color="auto" w:fill="FFFFFF"/>
        <w:spacing w:before="0" w:beforeAutospacing="0" w:after="0" w:afterAutospacing="0" w:line="560" w:lineRule="exact"/>
        <w:ind w:firstLine="641"/>
        <w:rPr>
          <w:rFonts w:hint="eastAsia" w:ascii="仿宋_GB2312" w:hAnsi="黑体" w:eastAsia="仿宋_GB2312" w:cs="黑体"/>
          <w:sz w:val="32"/>
          <w:szCs w:val="32"/>
        </w:rPr>
      </w:pPr>
    </w:p>
    <w:p>
      <w:pPr>
        <w:pStyle w:val="13"/>
        <w:widowControl/>
        <w:shd w:val="clear" w:color="auto" w:fill="FFFFFF"/>
        <w:spacing w:before="0" w:beforeAutospacing="0" w:after="0" w:afterAutospacing="0" w:line="560" w:lineRule="exact"/>
        <w:ind w:firstLine="642" w:firstLineChars="200"/>
        <w:rPr>
          <w:rFonts w:ascii="仿宋_GB2312" w:hAnsi="仿宋" w:eastAsia="仿宋_GB2312" w:cs="仿宋"/>
          <w:sz w:val="32"/>
          <w:szCs w:val="32"/>
        </w:rPr>
      </w:pPr>
      <w:r>
        <w:rPr>
          <w:rFonts w:hint="eastAsia" w:ascii="仿宋_GB2312" w:hAnsi="仿宋" w:eastAsia="仿宋_GB2312" w:cs="仿宋"/>
          <w:b/>
          <w:bCs/>
          <w:sz w:val="32"/>
          <w:szCs w:val="32"/>
        </w:rPr>
        <w:t>第二十</w:t>
      </w:r>
      <w:r>
        <w:rPr>
          <w:rFonts w:hint="eastAsia" w:ascii="仿宋_GB2312" w:hAnsi="仿宋" w:eastAsia="仿宋_GB2312" w:cs="仿宋"/>
          <w:b/>
          <w:bCs/>
          <w:sz w:val="32"/>
          <w:szCs w:val="32"/>
          <w:lang w:eastAsia="zh-CN"/>
        </w:rPr>
        <w:t>五</w:t>
      </w:r>
      <w:r>
        <w:rPr>
          <w:rFonts w:hint="eastAsia" w:ascii="仿宋_GB2312" w:hAnsi="仿宋" w:eastAsia="仿宋_GB2312" w:cs="仿宋"/>
          <w:b/>
          <w:bCs/>
          <w:sz w:val="32"/>
          <w:szCs w:val="32"/>
        </w:rPr>
        <w:t>条【交流合作】</w:t>
      </w:r>
      <w:r>
        <w:rPr>
          <w:rFonts w:hint="eastAsia" w:ascii="仿宋_GB2312" w:hAnsi="仿宋" w:eastAsia="仿宋_GB2312" w:cs="仿宋"/>
          <w:sz w:val="32"/>
          <w:szCs w:val="32"/>
        </w:rPr>
        <w:t>鼓励广府菜企业、行业协会和院校组织“粤菜师傅”赴市外、省外、境外参加广府菜菜品展销、厨艺展示、文化交流、技能竞赛等活动，加强交流合作，提高广府菜的知名度。</w:t>
      </w:r>
    </w:p>
    <w:p>
      <w:pPr>
        <w:pStyle w:val="13"/>
        <w:widowControl/>
        <w:shd w:val="clear" w:color="auto" w:fill="FFFFFF"/>
        <w:spacing w:before="0" w:beforeAutospacing="0" w:after="0" w:afterAutospacing="0"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鼓励广府菜企业采取合作经营、特许经营、培训人才等方式，向市外、省外、境外输出广府菜品牌、人才和技术服务。</w:t>
      </w:r>
    </w:p>
    <w:p>
      <w:pPr>
        <w:pStyle w:val="13"/>
        <w:widowControl/>
        <w:shd w:val="clear" w:color="auto" w:fill="FFFFFF"/>
        <w:spacing w:before="0" w:beforeAutospacing="0" w:after="0" w:afterAutospacing="0" w:line="560" w:lineRule="exact"/>
        <w:ind w:firstLine="641"/>
        <w:rPr>
          <w:rFonts w:hint="eastAsia" w:ascii="仿宋_GB2312" w:hAnsi="楷体" w:eastAsia="仿宋_GB2312" w:cs="楷体"/>
          <w:szCs w:val="24"/>
        </w:rPr>
      </w:pPr>
    </w:p>
    <w:p>
      <w:pPr>
        <w:pStyle w:val="13"/>
        <w:widowControl/>
        <w:shd w:val="clear" w:color="auto" w:fill="FFFFFF"/>
        <w:spacing w:before="0" w:beforeAutospacing="0" w:after="0" w:afterAutospacing="0" w:line="560" w:lineRule="exact"/>
        <w:ind w:firstLine="641"/>
        <w:rPr>
          <w:rFonts w:hint="eastAsia" w:ascii="仿宋_GB2312" w:hAnsi="仿宋" w:eastAsia="仿宋_GB2312" w:cs="仿宋"/>
          <w:sz w:val="32"/>
          <w:szCs w:val="32"/>
        </w:rPr>
      </w:pPr>
      <w:r>
        <w:rPr>
          <w:rFonts w:hint="eastAsia" w:ascii="仿宋_GB2312" w:hAnsi="仿宋" w:eastAsia="仿宋_GB2312" w:cs="仿宋"/>
          <w:b/>
          <w:bCs/>
          <w:sz w:val="32"/>
          <w:szCs w:val="32"/>
        </w:rPr>
        <w:t>第二十</w:t>
      </w:r>
      <w:r>
        <w:rPr>
          <w:rFonts w:hint="eastAsia" w:ascii="仿宋_GB2312" w:hAnsi="仿宋" w:eastAsia="仿宋_GB2312" w:cs="仿宋"/>
          <w:b/>
          <w:bCs/>
          <w:sz w:val="32"/>
          <w:szCs w:val="32"/>
          <w:lang w:eastAsia="zh-CN"/>
        </w:rPr>
        <w:t>六</w:t>
      </w:r>
      <w:r>
        <w:rPr>
          <w:rFonts w:hint="eastAsia" w:ascii="仿宋_GB2312" w:hAnsi="仿宋" w:eastAsia="仿宋_GB2312" w:cs="仿宋"/>
          <w:b/>
          <w:bCs/>
          <w:sz w:val="32"/>
          <w:szCs w:val="32"/>
        </w:rPr>
        <w:t>条【实施日期】</w:t>
      </w:r>
      <w:r>
        <w:rPr>
          <w:rFonts w:hint="eastAsia" w:ascii="仿宋_GB2312" w:hAnsi="仿宋" w:eastAsia="仿宋_GB2312" w:cs="仿宋"/>
          <w:sz w:val="32"/>
          <w:szCs w:val="32"/>
        </w:rPr>
        <w:t>本条例自  年  月 日起施行。</w:t>
      </w:r>
    </w:p>
    <w:p>
      <w:pPr>
        <w:spacing w:line="560" w:lineRule="exact"/>
        <w:rPr>
          <w:rFonts w:hint="eastAsia"/>
          <w:kern w:val="0"/>
        </w:rPr>
      </w:pPr>
    </w:p>
    <w:p>
      <w:pPr>
        <w:pStyle w:val="26"/>
        <w:spacing w:line="20" w:lineRule="exact"/>
        <w:jc w:val="left"/>
        <w:rPr>
          <w:rFonts w:eastAsia="仿宋_GB2312"/>
          <w:sz w:val="32"/>
        </w:rPr>
      </w:pPr>
    </w:p>
    <w:sectPr>
      <w:headerReference r:id="rId3" w:type="default"/>
      <w:footerReference r:id="rId4" w:type="default"/>
      <w:pgSz w:w="11907" w:h="16839"/>
      <w:pgMar w:top="1644" w:right="1531" w:bottom="1417" w:left="1531" w:header="850" w:footer="992" w:gutter="0"/>
      <w:pgNumType w:fmt="decimal" w:start="1"/>
      <w:cols w:space="0" w:num="1"/>
      <w:rtlGutter w:val="0"/>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0"/>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-9525</wp:posOffset>
              </wp:positionV>
              <wp:extent cx="1828800" cy="1828800"/>
              <wp:effectExtent l="0" t="0" r="0" b="0"/>
              <wp:wrapNone/>
              <wp:docPr id="5"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Bdr>
                              <w:between w:val="none" w:color="auto" w:sz="0" w:space="0"/>
                            </w:pBdr>
                          </w:pPr>
                        </w:p>
                      </w:txbxContent>
                    </wps:txbx>
                    <wps:bodyPr wrap="none" lIns="0" tIns="0" rIns="0" bIns="0" upright="true">
                      <a:spAutoFit/>
                    </wps:bodyPr>
                  </wps:wsp>
                </a:graphicData>
              </a:graphic>
            </wp:anchor>
          </w:drawing>
        </mc:Choice>
        <mc:Fallback>
          <w:pict>
            <v:shape id="文本框 22" o:spid="_x0000_s1026" o:spt="202" type="#_x0000_t202" style="position:absolute;left:0pt;margin-left:1pt;margin-top:-0.75pt;height:144pt;width:144pt;mso-position-horizontal-relative:margin;mso-wrap-style:none;z-index:251668480;mso-width-relative:page;mso-height-relative:page;" filled="f" stroked="f" coordsize="21600,21600" o:gfxdata="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8Fj5ktUAAAAIAQAADwAAAAAAAAABACAAAAA4AAAAZHJzL2Rvd25y&#10;ZXYueG1sUEsBAhQAFAAAAAgAh07iQGii59myAQAAUgMAAA4AAAAAAAAAAQAgAAAAOgEAAGRycy9l&#10;Mm9Eb2MueG1sUEsFBgAAAAAGAAYAWQEAAF4FAAAAAA==&#10;">
              <v:fill on="f" focussize="0,0"/>
              <v:stroke on="f"/>
              <v:imagedata o:title=""/>
              <o:lock v:ext="edit" aspectratio="f"/>
              <v:textbox inset="0mm,0mm,0mm,0mm" style="mso-fit-shape-to-text:t;">
                <w:txbxContent>
                  <w:p>
                    <w:pPr>
                      <w:pBdr>
                        <w:between w:val="none" w:color="auto" w:sz="0" w:space="0"/>
                      </w:pBd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720"/>
  <w:drawingGridHorizontalSpacing w:val="100"/>
  <w:drawingGridVerticalSpacing w:val="271"/>
  <w:displayHorizontalDrawingGridEvery w:val="0"/>
  <w:doNotShadeFormData w:val="true"/>
  <w:noPunctuationKerning w:val="true"/>
  <w:characterSpacingControl w:val="doNotCompress"/>
  <w:doNotValidateAgainstSchema/>
  <w:doNotDemarcateInvalidXml/>
  <w:hdrShapeDefaults>
    <o:shapelayout v:ext="edit">
      <o:idmap v:ext="edit" data="3"/>
    </o:shapelayout>
  </w:hdrShapeDefaults>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14941"/>
    <w:rsid w:val="00461900"/>
    <w:rsid w:val="006A14F6"/>
    <w:rsid w:val="00825A1B"/>
    <w:rsid w:val="00D403BF"/>
    <w:rsid w:val="00F26541"/>
    <w:rsid w:val="0144749B"/>
    <w:rsid w:val="01B03696"/>
    <w:rsid w:val="01EB1171"/>
    <w:rsid w:val="03245603"/>
    <w:rsid w:val="03312E8D"/>
    <w:rsid w:val="05737CB3"/>
    <w:rsid w:val="05C31DDC"/>
    <w:rsid w:val="068E5916"/>
    <w:rsid w:val="06AD2BEC"/>
    <w:rsid w:val="06BD5B84"/>
    <w:rsid w:val="06E70620"/>
    <w:rsid w:val="076A32FA"/>
    <w:rsid w:val="07B64878"/>
    <w:rsid w:val="08040096"/>
    <w:rsid w:val="083A7B67"/>
    <w:rsid w:val="08FE3204"/>
    <w:rsid w:val="08FE745E"/>
    <w:rsid w:val="092A7C5F"/>
    <w:rsid w:val="09B15631"/>
    <w:rsid w:val="0AE33142"/>
    <w:rsid w:val="0B5A2521"/>
    <w:rsid w:val="0B9A324D"/>
    <w:rsid w:val="0BA14A1F"/>
    <w:rsid w:val="0BFB2042"/>
    <w:rsid w:val="0C0B267C"/>
    <w:rsid w:val="0C5D45E5"/>
    <w:rsid w:val="0C843389"/>
    <w:rsid w:val="0CE507C6"/>
    <w:rsid w:val="0D080DAD"/>
    <w:rsid w:val="0E9B5D2F"/>
    <w:rsid w:val="0EAB6808"/>
    <w:rsid w:val="0EE566E8"/>
    <w:rsid w:val="0FD13FF7"/>
    <w:rsid w:val="0FE8091F"/>
    <w:rsid w:val="1088205E"/>
    <w:rsid w:val="11B923FD"/>
    <w:rsid w:val="11F04D3A"/>
    <w:rsid w:val="12721743"/>
    <w:rsid w:val="127707B9"/>
    <w:rsid w:val="129F1472"/>
    <w:rsid w:val="12CB3ACB"/>
    <w:rsid w:val="12E86E75"/>
    <w:rsid w:val="13F54167"/>
    <w:rsid w:val="15073781"/>
    <w:rsid w:val="163250F0"/>
    <w:rsid w:val="16A30BA0"/>
    <w:rsid w:val="16EE51E1"/>
    <w:rsid w:val="17227C59"/>
    <w:rsid w:val="17611E70"/>
    <w:rsid w:val="17851B5B"/>
    <w:rsid w:val="178A79E9"/>
    <w:rsid w:val="17940A0D"/>
    <w:rsid w:val="17A24217"/>
    <w:rsid w:val="17D46830"/>
    <w:rsid w:val="1820357E"/>
    <w:rsid w:val="18D40AD8"/>
    <w:rsid w:val="19A75972"/>
    <w:rsid w:val="19AB5411"/>
    <w:rsid w:val="19FF74B5"/>
    <w:rsid w:val="1A291334"/>
    <w:rsid w:val="1A634D47"/>
    <w:rsid w:val="1A68051C"/>
    <w:rsid w:val="1AF157A2"/>
    <w:rsid w:val="1B5265BE"/>
    <w:rsid w:val="1C113AAC"/>
    <w:rsid w:val="1CD367CD"/>
    <w:rsid w:val="1CFF4C46"/>
    <w:rsid w:val="1DEF0367"/>
    <w:rsid w:val="1E651A61"/>
    <w:rsid w:val="1F210636"/>
    <w:rsid w:val="1F241FA5"/>
    <w:rsid w:val="1F2B012C"/>
    <w:rsid w:val="1F5B052F"/>
    <w:rsid w:val="1F831769"/>
    <w:rsid w:val="20C7741B"/>
    <w:rsid w:val="221C78F9"/>
    <w:rsid w:val="22D03522"/>
    <w:rsid w:val="22E31E4A"/>
    <w:rsid w:val="230E2F16"/>
    <w:rsid w:val="23842C17"/>
    <w:rsid w:val="23B43272"/>
    <w:rsid w:val="23C403D9"/>
    <w:rsid w:val="24027F77"/>
    <w:rsid w:val="245474B8"/>
    <w:rsid w:val="24962306"/>
    <w:rsid w:val="249C454E"/>
    <w:rsid w:val="24FE3152"/>
    <w:rsid w:val="25217663"/>
    <w:rsid w:val="265A5940"/>
    <w:rsid w:val="26855C00"/>
    <w:rsid w:val="26B37443"/>
    <w:rsid w:val="26ED0412"/>
    <w:rsid w:val="27781707"/>
    <w:rsid w:val="27946591"/>
    <w:rsid w:val="27C46B08"/>
    <w:rsid w:val="28241658"/>
    <w:rsid w:val="28F107E0"/>
    <w:rsid w:val="29325CAF"/>
    <w:rsid w:val="29490ABD"/>
    <w:rsid w:val="29566F18"/>
    <w:rsid w:val="29607CDF"/>
    <w:rsid w:val="2ADC00BB"/>
    <w:rsid w:val="2AFF31AE"/>
    <w:rsid w:val="2BC26D8E"/>
    <w:rsid w:val="2C2B74D2"/>
    <w:rsid w:val="2C7C42DC"/>
    <w:rsid w:val="2D193917"/>
    <w:rsid w:val="2D2E56FD"/>
    <w:rsid w:val="2D6757B5"/>
    <w:rsid w:val="2D8F2418"/>
    <w:rsid w:val="2D9E480F"/>
    <w:rsid w:val="2E9644DB"/>
    <w:rsid w:val="2F1D68C8"/>
    <w:rsid w:val="2F6624BC"/>
    <w:rsid w:val="2F980895"/>
    <w:rsid w:val="2FCB0DF6"/>
    <w:rsid w:val="303D64F4"/>
    <w:rsid w:val="314A22AD"/>
    <w:rsid w:val="323B7590"/>
    <w:rsid w:val="324F62DC"/>
    <w:rsid w:val="33751F3B"/>
    <w:rsid w:val="33846022"/>
    <w:rsid w:val="33FB9ED5"/>
    <w:rsid w:val="340C74AE"/>
    <w:rsid w:val="34830B9E"/>
    <w:rsid w:val="350359A2"/>
    <w:rsid w:val="358432CA"/>
    <w:rsid w:val="35985D51"/>
    <w:rsid w:val="35DB561A"/>
    <w:rsid w:val="367A15E8"/>
    <w:rsid w:val="36893954"/>
    <w:rsid w:val="37171468"/>
    <w:rsid w:val="37EC036B"/>
    <w:rsid w:val="387D6B71"/>
    <w:rsid w:val="38B756E3"/>
    <w:rsid w:val="38F44A22"/>
    <w:rsid w:val="39185D2D"/>
    <w:rsid w:val="396B654E"/>
    <w:rsid w:val="3A260617"/>
    <w:rsid w:val="3BC230B0"/>
    <w:rsid w:val="3C4A25DE"/>
    <w:rsid w:val="3C916F5C"/>
    <w:rsid w:val="3C9A4A3C"/>
    <w:rsid w:val="3CA83A5E"/>
    <w:rsid w:val="3D484377"/>
    <w:rsid w:val="3D835183"/>
    <w:rsid w:val="3DEF8475"/>
    <w:rsid w:val="3FE90227"/>
    <w:rsid w:val="401014F0"/>
    <w:rsid w:val="40674C24"/>
    <w:rsid w:val="42996EEA"/>
    <w:rsid w:val="44856A12"/>
    <w:rsid w:val="44F279C0"/>
    <w:rsid w:val="45812BD7"/>
    <w:rsid w:val="4714752C"/>
    <w:rsid w:val="47F439CF"/>
    <w:rsid w:val="4822540F"/>
    <w:rsid w:val="49B0373F"/>
    <w:rsid w:val="4A8F19E2"/>
    <w:rsid w:val="4AB16497"/>
    <w:rsid w:val="4B120C0B"/>
    <w:rsid w:val="4B962E13"/>
    <w:rsid w:val="4DD0782F"/>
    <w:rsid w:val="4DF3307B"/>
    <w:rsid w:val="4EF0507A"/>
    <w:rsid w:val="511909D6"/>
    <w:rsid w:val="5167515D"/>
    <w:rsid w:val="52996356"/>
    <w:rsid w:val="52CE17D5"/>
    <w:rsid w:val="53A258AF"/>
    <w:rsid w:val="54562BD9"/>
    <w:rsid w:val="54DF13DB"/>
    <w:rsid w:val="552046F8"/>
    <w:rsid w:val="55B35D0D"/>
    <w:rsid w:val="55E155A8"/>
    <w:rsid w:val="569E1274"/>
    <w:rsid w:val="573C11CE"/>
    <w:rsid w:val="576C6895"/>
    <w:rsid w:val="584F7FDF"/>
    <w:rsid w:val="593548B7"/>
    <w:rsid w:val="5AB900AD"/>
    <w:rsid w:val="5D125E63"/>
    <w:rsid w:val="5D58284A"/>
    <w:rsid w:val="5EE47A0E"/>
    <w:rsid w:val="5F0026F9"/>
    <w:rsid w:val="5F113ACC"/>
    <w:rsid w:val="5F3C41AB"/>
    <w:rsid w:val="5F6C06B6"/>
    <w:rsid w:val="5F9A6E36"/>
    <w:rsid w:val="5FEFB725"/>
    <w:rsid w:val="60A46393"/>
    <w:rsid w:val="61C07E50"/>
    <w:rsid w:val="61D32128"/>
    <w:rsid w:val="622C15B4"/>
    <w:rsid w:val="62563128"/>
    <w:rsid w:val="63A97E71"/>
    <w:rsid w:val="64216A85"/>
    <w:rsid w:val="64F44D9C"/>
    <w:rsid w:val="65B95D04"/>
    <w:rsid w:val="66D25EE3"/>
    <w:rsid w:val="67BA4DA6"/>
    <w:rsid w:val="681D0BE8"/>
    <w:rsid w:val="6931691E"/>
    <w:rsid w:val="697D6137"/>
    <w:rsid w:val="69AC211E"/>
    <w:rsid w:val="6AB14A0C"/>
    <w:rsid w:val="6B3E1068"/>
    <w:rsid w:val="6B8B3348"/>
    <w:rsid w:val="6BDD7DC3"/>
    <w:rsid w:val="6CEE291D"/>
    <w:rsid w:val="6CF11A01"/>
    <w:rsid w:val="6D3A6501"/>
    <w:rsid w:val="6DB70A58"/>
    <w:rsid w:val="6E4C01C2"/>
    <w:rsid w:val="6EB014E1"/>
    <w:rsid w:val="70E16426"/>
    <w:rsid w:val="71D77514"/>
    <w:rsid w:val="7374599F"/>
    <w:rsid w:val="73F54B15"/>
    <w:rsid w:val="755470C5"/>
    <w:rsid w:val="75E9684A"/>
    <w:rsid w:val="76A41E3E"/>
    <w:rsid w:val="76BB2A06"/>
    <w:rsid w:val="77790980"/>
    <w:rsid w:val="77A81BCD"/>
    <w:rsid w:val="77FD12AC"/>
    <w:rsid w:val="77FF1DA0"/>
    <w:rsid w:val="78436452"/>
    <w:rsid w:val="785A45C6"/>
    <w:rsid w:val="78703765"/>
    <w:rsid w:val="787E769C"/>
    <w:rsid w:val="78C00AD3"/>
    <w:rsid w:val="78FC5A69"/>
    <w:rsid w:val="790C394E"/>
    <w:rsid w:val="7A6F575E"/>
    <w:rsid w:val="7AE150FA"/>
    <w:rsid w:val="7B477E06"/>
    <w:rsid w:val="7C5D029B"/>
    <w:rsid w:val="7D4256F1"/>
    <w:rsid w:val="7D7C7480"/>
    <w:rsid w:val="7D920D4D"/>
    <w:rsid w:val="7DDB43C4"/>
    <w:rsid w:val="7E3C3F17"/>
    <w:rsid w:val="7E493DD2"/>
    <w:rsid w:val="7E8D2DC0"/>
    <w:rsid w:val="FBF27CC2"/>
    <w:rsid w:val="FD984EA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qFormat/>
    <w:uiPriority w:val="0"/>
    <w:pPr>
      <w:keepNext/>
      <w:keepLines/>
      <w:spacing w:line="578" w:lineRule="auto"/>
      <w:outlineLvl w:val="0"/>
    </w:pPr>
    <w:rPr>
      <w:rFonts w:ascii="Verdana" w:hAnsi="Verdana" w:eastAsia="仿宋_GB2312"/>
      <w:b/>
      <w:bCs/>
      <w:kern w:val="44"/>
      <w:sz w:val="44"/>
      <w:szCs w:val="44"/>
      <w:lang w:eastAsia="en-US"/>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rPr>
  </w:style>
  <w:style w:type="paragraph" w:styleId="4">
    <w:name w:val="Body Text"/>
    <w:basedOn w:val="1"/>
    <w:qFormat/>
    <w:uiPriority w:val="0"/>
    <w:pPr>
      <w:jc w:val="both"/>
    </w:pPr>
    <w:rPr>
      <w:sz w:val="32"/>
    </w:rPr>
  </w:style>
  <w:style w:type="paragraph" w:styleId="5">
    <w:name w:val="Body Text Indent"/>
    <w:basedOn w:val="1"/>
    <w:qFormat/>
    <w:uiPriority w:val="0"/>
    <w:pPr>
      <w:spacing w:line="360" w:lineRule="auto"/>
      <w:ind w:left="643"/>
      <w:jc w:val="left"/>
    </w:pPr>
    <w:rPr>
      <w:rFonts w:eastAsia="仿宋_GB2312"/>
      <w:sz w:val="32"/>
    </w:rPr>
  </w:style>
  <w:style w:type="paragraph" w:styleId="6">
    <w:name w:val="Plain Text"/>
    <w:basedOn w:val="1"/>
    <w:next w:val="7"/>
    <w:qFormat/>
    <w:uiPriority w:val="0"/>
    <w:rPr>
      <w:rFonts w:ascii="宋体" w:hAnsi="Courier New" w:eastAsia="宋体"/>
    </w:rPr>
  </w:style>
  <w:style w:type="paragraph" w:styleId="7">
    <w:name w:val="index 9"/>
    <w:basedOn w:val="1"/>
    <w:next w:val="1"/>
    <w:qFormat/>
    <w:uiPriority w:val="0"/>
    <w:pPr>
      <w:ind w:left="3360"/>
    </w:pPr>
    <w:rPr>
      <w:rFonts w:cs="等线"/>
      <w:szCs w:val="21"/>
    </w:rPr>
  </w:style>
  <w:style w:type="paragraph" w:styleId="8">
    <w:name w:val="Date"/>
    <w:basedOn w:val="1"/>
    <w:next w:val="1"/>
    <w:qFormat/>
    <w:uiPriority w:val="0"/>
    <w:pPr>
      <w:jc w:val="both"/>
    </w:pPr>
    <w:rPr>
      <w:sz w:val="32"/>
    </w:rPr>
  </w:style>
  <w:style w:type="paragraph" w:styleId="9">
    <w:name w:val="Balloon Text"/>
    <w:basedOn w:val="1"/>
    <w:qFormat/>
    <w:uiPriority w:val="0"/>
    <w:rPr>
      <w:sz w:val="18"/>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tabs>
        <w:tab w:val="center" w:pos="4153"/>
        <w:tab w:val="right" w:pos="8306"/>
      </w:tabs>
      <w:snapToGrid w:val="0"/>
    </w:pPr>
    <w:rPr>
      <w:sz w:val="18"/>
    </w:rPr>
  </w:style>
  <w:style w:type="paragraph" w:styleId="12">
    <w:name w:val="Subtitle"/>
    <w:basedOn w:val="1"/>
    <w:next w:val="1"/>
    <w:qFormat/>
    <w:uiPriority w:val="0"/>
    <w:pPr>
      <w:spacing w:line="312" w:lineRule="auto"/>
      <w:jc w:val="center"/>
      <w:outlineLvl w:val="1"/>
    </w:pPr>
    <w:rPr>
      <w:rFonts w:ascii="Cambria" w:hAnsi="Cambria" w:eastAsia="仿宋_GB2312"/>
      <w:b/>
      <w:bCs/>
      <w:kern w:val="28"/>
      <w:sz w:val="32"/>
      <w:szCs w:val="32"/>
      <w:lang w:eastAsia="en-US"/>
    </w:rPr>
  </w:style>
  <w:style w:type="paragraph" w:styleId="13">
    <w:name w:val="Normal (Web)"/>
    <w:basedOn w:val="1"/>
    <w:qFormat/>
    <w:uiPriority w:val="0"/>
    <w:pPr>
      <w:spacing w:beforeAutospacing="1" w:afterAutospacing="1"/>
    </w:pPr>
    <w:rPr>
      <w:rFonts w:ascii="宋体" w:hAnsi="宋体" w:cs="宋体"/>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rPr>
  </w:style>
  <w:style w:type="character" w:styleId="18">
    <w:name w:val="page number"/>
    <w:basedOn w:val="16"/>
    <w:qFormat/>
    <w:uiPriority w:val="0"/>
  </w:style>
  <w:style w:type="character" w:styleId="19">
    <w:name w:val="Hyperlink"/>
    <w:basedOn w:val="16"/>
    <w:qFormat/>
    <w:uiPriority w:val="0"/>
    <w:rPr>
      <w:rFonts w:ascii="Times New Roman" w:hAnsi="Times New Roman" w:eastAsia="宋体" w:cs="Times New Roman"/>
      <w:color w:val="000000"/>
      <w:u w:val="none"/>
    </w:rPr>
  </w:style>
  <w:style w:type="paragraph" w:customStyle="1" w:styleId="20">
    <w:name w:val="_Style 5"/>
    <w:basedOn w:val="1"/>
    <w:qFormat/>
    <w:uiPriority w:val="0"/>
    <w:pPr>
      <w:ind w:firstLine="200" w:firstLineChars="200"/>
    </w:pPr>
    <w:rPr>
      <w:sz w:val="24"/>
      <w:szCs w:val="22"/>
    </w:rPr>
  </w:style>
  <w:style w:type="character" w:customStyle="1" w:styleId="21">
    <w:name w:val="页码 New New New New New"/>
    <w:basedOn w:val="16"/>
    <w:qFormat/>
    <w:uiPriority w:val="0"/>
  </w:style>
  <w:style w:type="character" w:customStyle="1" w:styleId="22">
    <w:name w:val="页码 New"/>
    <w:basedOn w:val="16"/>
    <w:qFormat/>
    <w:uiPriority w:val="0"/>
  </w:style>
  <w:style w:type="character" w:customStyle="1" w:styleId="23">
    <w:name w:val="页码 New New"/>
    <w:basedOn w:val="16"/>
    <w:qFormat/>
    <w:uiPriority w:val="0"/>
  </w:style>
  <w:style w:type="character" w:customStyle="1" w:styleId="24">
    <w:name w:val="页码 New New New New"/>
    <w:basedOn w:val="16"/>
    <w:qFormat/>
    <w:uiPriority w:val="0"/>
  </w:style>
  <w:style w:type="character" w:customStyle="1" w:styleId="25">
    <w:name w:val="页码 New New New"/>
    <w:basedOn w:val="16"/>
    <w:qFormat/>
    <w:uiPriority w:val="0"/>
  </w:style>
  <w:style w:type="paragraph" w:customStyle="1" w:styleId="26">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仿宋" w:cs="Times New Roman"/>
      <w:kern w:val="2"/>
      <w:sz w:val="32"/>
      <w:szCs w:val="24"/>
      <w:lang w:val="en-US" w:eastAsia="zh-CN" w:bidi="ar-SA"/>
    </w:rPr>
  </w:style>
  <w:style w:type="paragraph" w:customStyle="1" w:styleId="31">
    <w:name w:val="页眉 New"/>
    <w:basedOn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32">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正文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6">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页脚 New New New New"/>
    <w:basedOn w:val="39"/>
    <w:qFormat/>
    <w:uiPriority w:val="0"/>
    <w:pPr>
      <w:tabs>
        <w:tab w:val="center" w:pos="4153"/>
        <w:tab w:val="right" w:pos="8306"/>
      </w:tabs>
      <w:snapToGrid w:val="0"/>
      <w:jc w:val="left"/>
    </w:pPr>
    <w:rPr>
      <w:sz w:val="18"/>
      <w:szCs w:val="18"/>
    </w:rPr>
  </w:style>
  <w:style w:type="paragraph" w:customStyle="1" w:styleId="39">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页眉 New New New New New New New New New New New New New New New"/>
    <w:basedOn w:val="2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41">
    <w:name w:val="正文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2">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6">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页眉 New New New New New New New New New New New"/>
    <w:basedOn w:val="5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0">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3">
    <w:name w:val="页眉 New New New New New New New New New New New New New"/>
    <w:basedOn w:val="4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4">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页眉 New New New New New New New New New New New New New New"/>
    <w:basedOn w:val="5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7">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页眉 New New New"/>
    <w:basedOn w:val="6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0">
    <w:name w:val="正文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页脚 New"/>
    <w:basedOn w:val="44"/>
    <w:qFormat/>
    <w:uiPriority w:val="0"/>
    <w:pPr>
      <w:tabs>
        <w:tab w:val="center" w:pos="4153"/>
        <w:tab w:val="right" w:pos="8306"/>
      </w:tabs>
      <w:snapToGrid w:val="0"/>
      <w:jc w:val="left"/>
    </w:pPr>
    <w:rPr>
      <w:sz w:val="18"/>
      <w:szCs w:val="18"/>
    </w:rPr>
  </w:style>
  <w:style w:type="paragraph" w:customStyle="1" w:styleId="62">
    <w:name w:val="页眉 New New New New New New New New New"/>
    <w:basedOn w:val="28"/>
    <w:qFormat/>
    <w:uiPriority w:val="0"/>
    <w:pPr>
      <w:pBdr>
        <w:bottom w:val="single" w:color="auto" w:sz="6" w:space="1"/>
      </w:pBdr>
      <w:tabs>
        <w:tab w:val="center" w:pos="4153"/>
        <w:tab w:val="right" w:pos="8306"/>
      </w:tabs>
      <w:snapToGrid w:val="0"/>
      <w:jc w:val="center"/>
    </w:pPr>
    <w:rPr>
      <w:sz w:val="18"/>
      <w:szCs w:val="18"/>
    </w:rPr>
  </w:style>
  <w:style w:type="paragraph" w:customStyle="1" w:styleId="63">
    <w:name w:val="台头"/>
    <w:basedOn w:val="35"/>
    <w:qFormat/>
    <w:uiPriority w:val="0"/>
  </w:style>
  <w:style w:type="paragraph" w:customStyle="1" w:styleId="64">
    <w:name w:val="正文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65">
    <w:name w:val="页眉 New New New New New New New New New New New New"/>
    <w:basedOn w:val="3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6">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页眉 New New New New New New"/>
    <w:basedOn w:val="72"/>
    <w:qFormat/>
    <w:uiPriority w:val="0"/>
    <w:pPr>
      <w:pBdr>
        <w:bottom w:val="single" w:color="auto" w:sz="6" w:space="1"/>
      </w:pBdr>
      <w:tabs>
        <w:tab w:val="center" w:pos="4153"/>
        <w:tab w:val="right" w:pos="8306"/>
      </w:tabs>
      <w:snapToGrid w:val="0"/>
      <w:jc w:val="center"/>
    </w:pPr>
    <w:rPr>
      <w:sz w:val="18"/>
      <w:szCs w:val="18"/>
    </w:rPr>
  </w:style>
  <w:style w:type="paragraph" w:customStyle="1" w:styleId="74">
    <w:name w:val="页脚 New New New"/>
    <w:basedOn w:val="69"/>
    <w:qFormat/>
    <w:uiPriority w:val="0"/>
    <w:pPr>
      <w:tabs>
        <w:tab w:val="center" w:pos="4153"/>
        <w:tab w:val="right" w:pos="8306"/>
      </w:tabs>
      <w:snapToGrid w:val="0"/>
      <w:jc w:val="left"/>
    </w:pPr>
    <w:rPr>
      <w:sz w:val="18"/>
      <w:szCs w:val="18"/>
    </w:rPr>
  </w:style>
  <w:style w:type="paragraph" w:customStyle="1" w:styleId="75">
    <w:name w:val="Char"/>
    <w:basedOn w:val="29"/>
    <w:qFormat/>
    <w:uiPriority w:val="0"/>
    <w:pPr>
      <w:tabs>
        <w:tab w:val="left" w:pos="425"/>
      </w:tabs>
      <w:ind w:left="425" w:hanging="425"/>
    </w:pPr>
  </w:style>
  <w:style w:type="paragraph" w:customStyle="1" w:styleId="76">
    <w:name w:val="页脚 New New"/>
    <w:basedOn w:val="72"/>
    <w:qFormat/>
    <w:uiPriority w:val="0"/>
    <w:pPr>
      <w:tabs>
        <w:tab w:val="center" w:pos="4153"/>
        <w:tab w:val="right" w:pos="8306"/>
      </w:tabs>
      <w:snapToGrid w:val="0"/>
      <w:jc w:val="left"/>
    </w:pPr>
    <w:rPr>
      <w:sz w:val="18"/>
      <w:szCs w:val="18"/>
    </w:rPr>
  </w:style>
  <w:style w:type="paragraph" w:customStyle="1" w:styleId="77">
    <w:name w:val="页眉 New New New New New New New New New New New New New New New New"/>
    <w:basedOn w:val="58"/>
    <w:qFormat/>
    <w:uiPriority w:val="0"/>
    <w:pPr>
      <w:tabs>
        <w:tab w:val="center" w:pos="4153"/>
        <w:tab w:val="right" w:pos="8306"/>
      </w:tabs>
      <w:snapToGrid w:val="0"/>
    </w:pPr>
    <w:rPr>
      <w:sz w:val="18"/>
    </w:rPr>
  </w:style>
  <w:style w:type="paragraph" w:customStyle="1" w:styleId="78">
    <w:name w:val="页眉 New New New New New"/>
    <w:basedOn w:val="44"/>
    <w:qFormat/>
    <w:uiPriority w:val="0"/>
    <w:pPr>
      <w:pBdr>
        <w:bottom w:val="single" w:color="auto" w:sz="6" w:space="1"/>
      </w:pBdr>
      <w:tabs>
        <w:tab w:val="center" w:pos="4153"/>
        <w:tab w:val="right" w:pos="8306"/>
      </w:tabs>
      <w:snapToGrid w:val="0"/>
      <w:jc w:val="center"/>
    </w:pPr>
    <w:rPr>
      <w:sz w:val="18"/>
      <w:szCs w:val="18"/>
    </w:rPr>
  </w:style>
  <w:style w:type="paragraph" w:customStyle="1" w:styleId="79">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页眉 New New New New"/>
    <w:basedOn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1">
    <w:name w:val="页眉 New New New New New New New New New New"/>
    <w:basedOn w:val="4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2">
    <w:name w:val="页眉 New New New New New New New"/>
    <w:basedOn w:val="69"/>
    <w:qFormat/>
    <w:uiPriority w:val="0"/>
    <w:pPr>
      <w:pBdr>
        <w:bottom w:val="single" w:color="auto" w:sz="6" w:space="1"/>
      </w:pBdr>
      <w:tabs>
        <w:tab w:val="center" w:pos="4153"/>
        <w:tab w:val="right" w:pos="8306"/>
      </w:tabs>
      <w:snapToGrid w:val="0"/>
      <w:jc w:val="center"/>
    </w:pPr>
    <w:rPr>
      <w:sz w:val="18"/>
      <w:szCs w:val="18"/>
    </w:rPr>
  </w:style>
  <w:style w:type="paragraph" w:customStyle="1" w:styleId="83">
    <w:name w:val="页脚 New New New New New"/>
    <w:basedOn w:val="28"/>
    <w:qFormat/>
    <w:uiPriority w:val="0"/>
    <w:pPr>
      <w:tabs>
        <w:tab w:val="center" w:pos="4153"/>
        <w:tab w:val="right" w:pos="8306"/>
      </w:tabs>
      <w:snapToGrid w:val="0"/>
      <w:jc w:val="left"/>
    </w:pPr>
    <w:rPr>
      <w:sz w:val="18"/>
      <w:szCs w:val="18"/>
    </w:rPr>
  </w:style>
  <w:style w:type="paragraph" w:customStyle="1" w:styleId="84">
    <w:name w:val="页眉 New New New New New New New New"/>
    <w:basedOn w:val="39"/>
    <w:qFormat/>
    <w:uiPriority w:val="0"/>
    <w:pPr>
      <w:pBdr>
        <w:bottom w:val="single" w:color="auto" w:sz="6" w:space="1"/>
      </w:pBdr>
      <w:tabs>
        <w:tab w:val="center" w:pos="4153"/>
        <w:tab w:val="right" w:pos="8306"/>
      </w:tabs>
      <w:snapToGrid w:val="0"/>
      <w:jc w:val="center"/>
    </w:pPr>
    <w:rPr>
      <w:sz w:val="18"/>
      <w:szCs w:val="18"/>
    </w:rPr>
  </w:style>
  <w:style w:type="paragraph" w:customStyle="1" w:styleId="85">
    <w:name w:val="页眉 New New"/>
    <w:basedOn w:val="4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6">
    <w:name w:val="18"/>
    <w:qFormat/>
    <w:uiPriority w:val="0"/>
    <w:rPr>
      <w:rFonts w:hint="default"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2</Pages>
  <Words>802</Words>
  <Characters>201</Characters>
  <Lines>1</Lines>
  <Paragraphs>2</Paragraphs>
  <TotalTime>28</TotalTime>
  <ScaleCrop>false</ScaleCrop>
  <LinksUpToDate>false</LinksUpToDate>
  <CharactersWithSpaces>1001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2019-07-07T01:18:00Z</dcterms:created>
  <dc:creator>微软（中国）有限公司</dc:creator>
  <cp:lastModifiedBy>李纪展</cp:lastModifiedBy>
  <cp:lastPrinted>2022-06-21T02:53:00Z</cp:lastPrinted>
  <dcterms:modified xsi:type="dcterms:W3CDTF">2022-06-21T18:36:08Z</dcterms:modified>
  <dc:title>关于进行换届以来工作总结的通知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